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AD1A5" w14:textId="77777777" w:rsidR="00AC3C0E" w:rsidRPr="003E2470" w:rsidRDefault="00AC3C0E" w:rsidP="00AC3C0E">
      <w:pPr>
        <w:rPr>
          <w:rFonts w:ascii="Aptos" w:eastAsia="Calibri" w:hAnsi="Aptos" w:cs="Arial"/>
          <w:b/>
          <w:color w:val="auto"/>
        </w:rPr>
      </w:pPr>
      <w:r w:rsidRPr="003E2470">
        <w:rPr>
          <w:rFonts w:ascii="Aptos" w:eastAsia="Calibri" w:hAnsi="Aptos" w:cs="Arial"/>
          <w:b/>
          <w:color w:val="auto"/>
        </w:rPr>
        <w:t>Genotypic Resistance Alters Fungicide Response and Yield Stability in Peanut Under Late Leaf Spot Pressure</w:t>
      </w:r>
    </w:p>
    <w:p w14:paraId="115BE6D7" w14:textId="77777777" w:rsidR="00AC3C0E" w:rsidRPr="003E2470" w:rsidRDefault="00AC3C0E" w:rsidP="00AC3C0E">
      <w:pPr>
        <w:rPr>
          <w:rFonts w:ascii="Aptos" w:eastAsia="Calibri" w:hAnsi="Aptos" w:cs="Arial"/>
          <w:b/>
          <w:color w:val="auto"/>
        </w:rPr>
      </w:pPr>
    </w:p>
    <w:p w14:paraId="3FA161DE" w14:textId="00B4EA74" w:rsidR="00064092" w:rsidRPr="0074040C" w:rsidRDefault="000013E4" w:rsidP="001C28A8">
      <w:pPr>
        <w:rPr>
          <w:rFonts w:ascii="Aptos" w:eastAsia="Calibri" w:hAnsi="Aptos" w:cs="Arial"/>
          <w:color w:val="auto"/>
          <w:vertAlign w:val="superscript"/>
        </w:rPr>
      </w:pPr>
      <w:r w:rsidRPr="003E2470">
        <w:rPr>
          <w:rFonts w:ascii="Aptos" w:eastAsia="Calibri" w:hAnsi="Aptos" w:cs="Arial"/>
          <w:b/>
          <w:bCs/>
          <w:color w:val="auto"/>
        </w:rPr>
        <w:t>LEONARD, D.J.</w:t>
      </w:r>
      <w:r w:rsidR="000B40D2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0B40D2" w:rsidRPr="003E2470">
        <w:rPr>
          <w:rFonts w:ascii="Aptos" w:eastAsia="Calibri" w:hAnsi="Aptos" w:cs="Arial"/>
          <w:color w:val="auto"/>
        </w:rPr>
        <w:t>, Tillman, B.L</w:t>
      </w:r>
      <w:r w:rsidR="000B40D2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0B40D2" w:rsidRPr="003E2470">
        <w:rPr>
          <w:rFonts w:ascii="Aptos" w:eastAsia="Calibri" w:hAnsi="Aptos" w:cs="Arial"/>
          <w:color w:val="auto"/>
        </w:rPr>
        <w:t>, Gomillion, M.W.</w:t>
      </w:r>
      <w:r w:rsidR="000B40D2" w:rsidRPr="003E2470">
        <w:rPr>
          <w:rFonts w:ascii="Aptos" w:eastAsia="Calibri" w:hAnsi="Aptos" w:cs="Arial"/>
          <w:color w:val="auto"/>
          <w:vertAlign w:val="superscript"/>
        </w:rPr>
        <w:t xml:space="preserve"> </w:t>
      </w:r>
      <w:r w:rsidR="000B40D2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1C5755" w:rsidRPr="003E2470">
        <w:rPr>
          <w:rFonts w:ascii="Aptos" w:eastAsia="Calibri" w:hAnsi="Aptos" w:cs="Arial"/>
          <w:color w:val="auto"/>
        </w:rPr>
        <w:t>, Goyzueta, M.D.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 xml:space="preserve"> 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1C5755" w:rsidRPr="003E2470">
        <w:rPr>
          <w:rFonts w:ascii="Aptos" w:eastAsia="Calibri" w:hAnsi="Aptos" w:cs="Arial"/>
          <w:color w:val="auto"/>
        </w:rPr>
        <w:t>, Castro, S.C.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 xml:space="preserve"> 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1C5755" w:rsidRPr="003E2470">
        <w:rPr>
          <w:rFonts w:ascii="Aptos" w:eastAsia="Calibri" w:hAnsi="Aptos" w:cs="Arial"/>
          <w:color w:val="auto"/>
        </w:rPr>
        <w:t xml:space="preserve">, </w:t>
      </w:r>
      <w:proofErr w:type="spellStart"/>
      <w:r w:rsidR="001C5755" w:rsidRPr="003E2470">
        <w:rPr>
          <w:rFonts w:ascii="Aptos" w:eastAsia="Calibri" w:hAnsi="Aptos" w:cs="Arial"/>
          <w:color w:val="auto"/>
        </w:rPr>
        <w:t>Odour</w:t>
      </w:r>
      <w:proofErr w:type="spellEnd"/>
      <w:r w:rsidR="001C5755" w:rsidRPr="003E2470">
        <w:rPr>
          <w:rFonts w:ascii="Aptos" w:eastAsia="Calibri" w:hAnsi="Aptos" w:cs="Arial"/>
          <w:color w:val="auto"/>
        </w:rPr>
        <w:t>, J.O.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 xml:space="preserve"> 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>1</w:t>
      </w:r>
      <w:r w:rsidR="001C5755" w:rsidRPr="003E2470">
        <w:rPr>
          <w:rFonts w:ascii="Aptos" w:eastAsia="Calibri" w:hAnsi="Aptos" w:cs="Arial"/>
          <w:color w:val="auto"/>
        </w:rPr>
        <w:t>, Toruno, C.E.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 xml:space="preserve"> </w:t>
      </w:r>
      <w:r w:rsidR="001C5755" w:rsidRPr="003E2470">
        <w:rPr>
          <w:rFonts w:ascii="Aptos" w:eastAsia="Calibri" w:hAnsi="Aptos" w:cs="Arial"/>
          <w:color w:val="auto"/>
          <w:vertAlign w:val="superscript"/>
        </w:rPr>
        <w:t>1</w:t>
      </w:r>
    </w:p>
    <w:p w14:paraId="3615BE88" w14:textId="3C7A41AA" w:rsidR="00A16B3D" w:rsidRPr="003E2470" w:rsidRDefault="00A16B3D" w:rsidP="001C28A8">
      <w:pPr>
        <w:rPr>
          <w:rFonts w:ascii="Aptos" w:eastAsia="Calibri" w:hAnsi="Aptos" w:cs="Arial"/>
          <w:color w:val="auto"/>
        </w:rPr>
      </w:pPr>
      <w:r w:rsidRPr="003E2470">
        <w:rPr>
          <w:rFonts w:ascii="Aptos" w:eastAsia="Calibri" w:hAnsi="Aptos" w:cs="Arial"/>
          <w:color w:val="auto"/>
        </w:rPr>
        <w:t>North Florida Research and Education Center</w:t>
      </w:r>
      <w:r w:rsidR="00E37978" w:rsidRPr="003E2470">
        <w:rPr>
          <w:rFonts w:ascii="Aptos" w:eastAsia="Calibri" w:hAnsi="Aptos" w:cs="Arial"/>
          <w:color w:val="auto"/>
        </w:rPr>
        <w:t>, University of Florida/IFAS, Marianna, FL.</w:t>
      </w:r>
    </w:p>
    <w:p w14:paraId="3D20B69E" w14:textId="18198F1B" w:rsidR="001C28A8" w:rsidRPr="003E2470" w:rsidRDefault="001C28A8" w:rsidP="001C28A8">
      <w:pPr>
        <w:contextualSpacing/>
        <w:rPr>
          <w:rFonts w:ascii="Aptos" w:eastAsia="Calibri" w:hAnsi="Aptos" w:cs="Arial"/>
          <w:b/>
          <w:color w:val="auto"/>
        </w:rPr>
      </w:pPr>
    </w:p>
    <w:p w14:paraId="58A71C9F" w14:textId="44640374" w:rsidR="00B52293" w:rsidRPr="003E2470" w:rsidRDefault="009220ED" w:rsidP="001C28A8">
      <w:pPr>
        <w:contextualSpacing/>
        <w:rPr>
          <w:rFonts w:ascii="Aptos" w:eastAsia="Calibri" w:hAnsi="Aptos" w:cs="Arial"/>
          <w:bCs/>
          <w:color w:val="auto"/>
        </w:rPr>
      </w:pPr>
      <w:r w:rsidRPr="003E2470">
        <w:rPr>
          <w:rFonts w:ascii="Aptos" w:eastAsia="Calibri" w:hAnsi="Aptos" w:cs="Arial"/>
          <w:bCs/>
          <w:color w:val="auto"/>
        </w:rPr>
        <w:t>Peanut (</w:t>
      </w:r>
      <w:r w:rsidRPr="003E2470">
        <w:rPr>
          <w:rFonts w:ascii="Aptos" w:eastAsia="Calibri" w:hAnsi="Aptos" w:cs="Arial"/>
          <w:bCs/>
          <w:i/>
          <w:iCs/>
          <w:color w:val="auto"/>
        </w:rPr>
        <w:t>Arachis hypogaea</w:t>
      </w:r>
      <w:r w:rsidRPr="003E2470">
        <w:rPr>
          <w:rFonts w:ascii="Aptos" w:eastAsia="Calibri" w:hAnsi="Aptos" w:cs="Arial"/>
          <w:bCs/>
          <w:color w:val="auto"/>
        </w:rPr>
        <w:t xml:space="preserve"> L.) is a major crop in the Florida Panhandle, where late leaf spot (LLS) is a primary disease that limits yield and requires intensive fungicide programs. Recently developed peanut genotypes from the UF Peanut Breeding Program with resistance to LLS may reduce reliance on fungicides; however, optimal management strategies remain unclear.</w:t>
      </w:r>
      <w:r w:rsidR="001B490C" w:rsidRPr="003E2470">
        <w:rPr>
          <w:rFonts w:ascii="Aptos" w:eastAsia="Calibri" w:hAnsi="Aptos" w:cs="Arial"/>
          <w:bCs/>
          <w:color w:val="auto"/>
        </w:rPr>
        <w:t xml:space="preserve">  </w:t>
      </w:r>
      <w:r w:rsidR="001C28A8" w:rsidRPr="003E2470">
        <w:rPr>
          <w:rFonts w:ascii="Aptos" w:eastAsia="Calibri" w:hAnsi="Aptos" w:cs="Arial"/>
          <w:b/>
          <w:color w:val="auto"/>
        </w:rPr>
        <w:t>Objectives: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Evaluate fungicide rate and application interval requirements for peanut genotypes with varying levels of resistance to LLS.  </w:t>
      </w:r>
      <w:r w:rsidR="001C28A8" w:rsidRPr="003E2470">
        <w:rPr>
          <w:rFonts w:ascii="Aptos" w:eastAsia="Calibri" w:hAnsi="Aptos" w:cs="Arial"/>
          <w:b/>
          <w:color w:val="auto"/>
        </w:rPr>
        <w:t>Methods: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Field experiments were conducted in 2024 and 2025 </w:t>
      </w:r>
      <w:r w:rsidR="00F47BA9" w:rsidRPr="003E2470">
        <w:rPr>
          <w:rFonts w:ascii="Aptos" w:eastAsia="Calibri" w:hAnsi="Aptos" w:cs="Arial"/>
          <w:bCs/>
          <w:color w:val="auto"/>
        </w:rPr>
        <w:t>at the UF/IFAS NFREC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 in Marianna, FL. The </w:t>
      </w:r>
      <w:r w:rsidR="0053763D" w:rsidRPr="003E2470">
        <w:rPr>
          <w:rFonts w:ascii="Aptos" w:eastAsia="Calibri" w:hAnsi="Aptos" w:cs="Arial"/>
          <w:bCs/>
          <w:color w:val="auto"/>
        </w:rPr>
        <w:t>study comprised a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 randomized complete block design with a split-plot arrangement and three replications. Main plots </w:t>
      </w:r>
      <w:r w:rsidR="0053763D" w:rsidRPr="003E2470">
        <w:rPr>
          <w:rFonts w:ascii="Aptos" w:eastAsia="Calibri" w:hAnsi="Aptos" w:cs="Arial"/>
          <w:bCs/>
          <w:color w:val="auto"/>
        </w:rPr>
        <w:t xml:space="preserve">were </w:t>
      </w:r>
      <w:r w:rsidR="005E3ADA" w:rsidRPr="003E2470">
        <w:rPr>
          <w:rFonts w:ascii="Aptos" w:eastAsia="Calibri" w:hAnsi="Aptos" w:cs="Arial"/>
          <w:bCs/>
          <w:color w:val="auto"/>
        </w:rPr>
        <w:t>fungicide treatments (0, 0.75, or 1.5 pt acre</w:t>
      </w:r>
      <w:r w:rsidR="005E3ADA" w:rsidRPr="003E2470">
        <w:rPr>
          <w:rFonts w:ascii="Cambria Math" w:eastAsia="Calibri" w:hAnsi="Cambria Math" w:cs="Cambria Math"/>
          <w:bCs/>
          <w:color w:val="auto"/>
        </w:rPr>
        <w:t>⁻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¹ chlorothalonil applied every 14, 21, or 28 d), and subplots </w:t>
      </w:r>
      <w:r w:rsidR="0053763D" w:rsidRPr="003E2470">
        <w:rPr>
          <w:rFonts w:ascii="Aptos" w:eastAsia="Calibri" w:hAnsi="Aptos" w:cs="Arial"/>
          <w:bCs/>
          <w:color w:val="auto"/>
        </w:rPr>
        <w:t>were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 three LLS-resistant genotypes (UF14x054-8-6-1-1, Gorbet, and Tif-CB7) and a susceptible control (</w:t>
      </w:r>
      <w:proofErr w:type="spellStart"/>
      <w:r w:rsidR="005E3ADA" w:rsidRPr="003E2470">
        <w:rPr>
          <w:rFonts w:ascii="Aptos" w:eastAsia="Calibri" w:hAnsi="Aptos" w:cs="Arial"/>
          <w:bCs/>
          <w:color w:val="auto"/>
        </w:rPr>
        <w:t>FloRun</w:t>
      </w:r>
      <w:proofErr w:type="spellEnd"/>
      <w:r w:rsidR="005E3ADA" w:rsidRPr="003E2470">
        <w:rPr>
          <w:rFonts w:ascii="Aptos" w:eastAsia="Calibri" w:hAnsi="Aptos" w:cs="Arial"/>
          <w:bCs/>
          <w:color w:val="auto"/>
        </w:rPr>
        <w:t>™ ‘T61’). Disease severity was assessed biweekly and used to calculate area under the disease progress curve (AUDPC),</w:t>
      </w:r>
      <w:r w:rsidR="0053763D" w:rsidRPr="003E2470">
        <w:rPr>
          <w:rFonts w:ascii="Aptos" w:eastAsia="Calibri" w:hAnsi="Aptos" w:cs="Arial"/>
          <w:bCs/>
          <w:color w:val="auto"/>
        </w:rPr>
        <w:t xml:space="preserve"> with</w:t>
      </w:r>
      <w:r w:rsidR="005E3ADA" w:rsidRPr="003E2470">
        <w:rPr>
          <w:rFonts w:ascii="Aptos" w:eastAsia="Calibri" w:hAnsi="Aptos" w:cs="Arial"/>
          <w:bCs/>
          <w:color w:val="auto"/>
        </w:rPr>
        <w:t xml:space="preserve"> yield measured at harvest.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 </w:t>
      </w:r>
      <w:r w:rsidR="001C28A8" w:rsidRPr="003E2470">
        <w:rPr>
          <w:rFonts w:ascii="Aptos" w:eastAsia="Calibri" w:hAnsi="Aptos" w:cs="Arial"/>
          <w:b/>
          <w:color w:val="auto"/>
        </w:rPr>
        <w:t>Results: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</w:t>
      </w:r>
      <w:r w:rsidR="00443C6C" w:rsidRPr="003E2470">
        <w:rPr>
          <w:rFonts w:ascii="Aptos" w:eastAsia="Calibri" w:hAnsi="Aptos" w:cs="Arial"/>
          <w:bCs/>
          <w:color w:val="auto"/>
        </w:rPr>
        <w:t xml:space="preserve">Across years, genotype </w:t>
      </w:r>
      <w:r w:rsidR="0090327E" w:rsidRPr="003E2470">
        <w:rPr>
          <w:rFonts w:ascii="Aptos" w:eastAsia="Calibri" w:hAnsi="Aptos" w:cs="Arial"/>
          <w:bCs/>
          <w:color w:val="auto"/>
        </w:rPr>
        <w:t xml:space="preserve">and fungicide treatment </w:t>
      </w:r>
      <w:r w:rsidR="00443C6C" w:rsidRPr="003E2470">
        <w:rPr>
          <w:rFonts w:ascii="Aptos" w:eastAsia="Calibri" w:hAnsi="Aptos" w:cs="Arial"/>
          <w:bCs/>
          <w:color w:val="auto"/>
        </w:rPr>
        <w:t>significantly affected yield</w:t>
      </w:r>
      <w:r w:rsidR="00B72670" w:rsidRPr="003E2470">
        <w:rPr>
          <w:rFonts w:ascii="Aptos" w:eastAsia="Calibri" w:hAnsi="Aptos" w:cs="Arial"/>
          <w:bCs/>
          <w:color w:val="auto"/>
        </w:rPr>
        <w:t xml:space="preserve"> </w:t>
      </w:r>
      <w:r w:rsidR="00443C6C" w:rsidRPr="003E2470">
        <w:rPr>
          <w:rFonts w:ascii="Aptos" w:eastAsia="Calibri" w:hAnsi="Aptos" w:cs="Arial"/>
          <w:bCs/>
          <w:color w:val="auto"/>
        </w:rPr>
        <w:t>(P &lt; 0.0001</w:t>
      </w:r>
      <w:r w:rsidR="0090327E" w:rsidRPr="003E2470">
        <w:rPr>
          <w:rFonts w:ascii="Aptos" w:eastAsia="Calibri" w:hAnsi="Aptos" w:cs="Arial"/>
          <w:bCs/>
          <w:color w:val="auto"/>
        </w:rPr>
        <w:t xml:space="preserve"> and P = </w:t>
      </w:r>
      <w:r w:rsidR="00254970" w:rsidRPr="003E2470">
        <w:rPr>
          <w:rFonts w:ascii="Aptos" w:eastAsia="Calibri" w:hAnsi="Aptos" w:cs="Arial"/>
          <w:bCs/>
          <w:color w:val="auto"/>
        </w:rPr>
        <w:t>0.0046 respectively</w:t>
      </w:r>
      <w:r w:rsidR="00443C6C" w:rsidRPr="003E2470">
        <w:rPr>
          <w:rFonts w:ascii="Aptos" w:eastAsia="Calibri" w:hAnsi="Aptos" w:cs="Arial"/>
          <w:bCs/>
          <w:color w:val="auto"/>
        </w:rPr>
        <w:t>),</w:t>
      </w:r>
      <w:r w:rsidR="00254970" w:rsidRPr="003E2470">
        <w:rPr>
          <w:rFonts w:ascii="Aptos" w:eastAsia="Calibri" w:hAnsi="Aptos" w:cs="Arial"/>
          <w:bCs/>
          <w:color w:val="auto"/>
        </w:rPr>
        <w:t xml:space="preserve"> </w:t>
      </w:r>
      <w:r w:rsidR="00443C6C" w:rsidRPr="003E2470">
        <w:rPr>
          <w:rFonts w:ascii="Aptos" w:eastAsia="Calibri" w:hAnsi="Aptos" w:cs="Arial"/>
          <w:bCs/>
          <w:color w:val="auto"/>
        </w:rPr>
        <w:t xml:space="preserve">with no significant genotype × fungicide interaction. UF14x054-8-6-1-1 consistently produced the highest yields across fungicide regimes, followed by UF-SSD-19 and Tif-CB7, while the susceptible </w:t>
      </w:r>
      <w:proofErr w:type="spellStart"/>
      <w:r w:rsidR="00443C6C" w:rsidRPr="003E2470">
        <w:rPr>
          <w:rFonts w:ascii="Aptos" w:eastAsia="Calibri" w:hAnsi="Aptos" w:cs="Arial"/>
          <w:bCs/>
          <w:color w:val="auto"/>
        </w:rPr>
        <w:t>FloRun</w:t>
      </w:r>
      <w:proofErr w:type="spellEnd"/>
      <w:r w:rsidR="00443C6C" w:rsidRPr="003E2470">
        <w:rPr>
          <w:rFonts w:ascii="Aptos" w:eastAsia="Calibri" w:hAnsi="Aptos" w:cs="Arial"/>
          <w:bCs/>
          <w:color w:val="auto"/>
        </w:rPr>
        <w:t xml:space="preserve">™ ‘T61’ had the lowest yields. Under no fungicide application, UF14x054-8-6-1-1 and </w:t>
      </w:r>
      <w:r w:rsidR="005F11E6" w:rsidRPr="003E2470">
        <w:rPr>
          <w:rFonts w:ascii="Aptos" w:eastAsia="Calibri" w:hAnsi="Aptos" w:cs="Arial"/>
          <w:bCs/>
          <w:color w:val="auto"/>
        </w:rPr>
        <w:t>Gorbet</w:t>
      </w:r>
      <w:r w:rsidR="00443C6C" w:rsidRPr="003E2470">
        <w:rPr>
          <w:rFonts w:ascii="Aptos" w:eastAsia="Calibri" w:hAnsi="Aptos" w:cs="Arial"/>
          <w:bCs/>
          <w:color w:val="auto"/>
        </w:rPr>
        <w:t xml:space="preserve"> yielded up to 54% and 47% greater than T61, respectively</w:t>
      </w:r>
      <w:r w:rsidR="00B72670" w:rsidRPr="003E2470">
        <w:rPr>
          <w:rFonts w:ascii="Aptos" w:eastAsia="Calibri" w:hAnsi="Aptos" w:cs="Arial"/>
          <w:bCs/>
          <w:color w:val="auto"/>
        </w:rPr>
        <w:t>.  Disease severity (AUDPC) was also significantly affected by genotype, fungicide treatment, and their interaction (P &lt; 0.0001)</w:t>
      </w:r>
      <w:r w:rsidR="005F11E6" w:rsidRPr="003E2470">
        <w:rPr>
          <w:rFonts w:ascii="Aptos" w:eastAsia="Calibri" w:hAnsi="Aptos" w:cs="Arial"/>
          <w:bCs/>
          <w:color w:val="auto"/>
        </w:rPr>
        <w:t xml:space="preserve">.  </w:t>
      </w:r>
      <w:r w:rsidR="00DE69FA" w:rsidRPr="003E2470">
        <w:rPr>
          <w:rFonts w:ascii="Aptos" w:eastAsia="Calibri" w:hAnsi="Aptos" w:cs="Arial"/>
          <w:bCs/>
          <w:color w:val="auto"/>
        </w:rPr>
        <w:t xml:space="preserve">F14x054-8-6-1-1 and Gorbet reduced disease severity compared to </w:t>
      </w:r>
      <w:proofErr w:type="spellStart"/>
      <w:r w:rsidR="00652F58" w:rsidRPr="003E2470">
        <w:rPr>
          <w:rFonts w:ascii="Aptos" w:eastAsia="Calibri" w:hAnsi="Aptos" w:cs="Arial"/>
          <w:bCs/>
          <w:color w:val="auto"/>
        </w:rPr>
        <w:t>FloRun</w:t>
      </w:r>
      <w:proofErr w:type="spellEnd"/>
      <w:r w:rsidR="00652F58" w:rsidRPr="003E2470">
        <w:rPr>
          <w:rFonts w:ascii="Aptos" w:eastAsia="Calibri" w:hAnsi="Aptos" w:cs="Arial"/>
          <w:bCs/>
          <w:color w:val="auto"/>
        </w:rPr>
        <w:t>™ ‘T61’ by 27% and 36% respectively</w:t>
      </w:r>
      <w:r w:rsidR="00443C6C" w:rsidRPr="003E2470">
        <w:rPr>
          <w:rFonts w:ascii="Aptos" w:eastAsia="Calibri" w:hAnsi="Aptos" w:cs="Arial"/>
          <w:bCs/>
          <w:color w:val="auto"/>
        </w:rPr>
        <w:t xml:space="preserve">. Tif-CB7 showed intermediate performance, requiring greater fungicide input to maintain comparable disease control. Fungicide applications increased yield overall; however, reduced-input programs frequently resulted in yields comparable to more intensive programs for resistant genotypes. </w:t>
      </w:r>
      <w:r w:rsidR="001C28A8" w:rsidRPr="003E2470">
        <w:rPr>
          <w:rFonts w:ascii="Aptos" w:eastAsia="Calibri" w:hAnsi="Aptos" w:cs="Arial"/>
          <w:b/>
          <w:color w:val="auto"/>
        </w:rPr>
        <w:t>Conclusions: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This </w:t>
      </w:r>
      <w:r w:rsidR="00957FB9" w:rsidRPr="003E2470">
        <w:rPr>
          <w:rFonts w:ascii="Aptos" w:eastAsia="Calibri" w:hAnsi="Aptos" w:cs="Arial"/>
          <w:bCs/>
          <w:color w:val="auto"/>
        </w:rPr>
        <w:t>experiment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demonstrates that LLS-resistant peanut genotypes can maintain high yield</w:t>
      </w:r>
      <w:r w:rsidR="00957FB9" w:rsidRPr="003E2470">
        <w:rPr>
          <w:rFonts w:ascii="Aptos" w:eastAsia="Calibri" w:hAnsi="Aptos" w:cs="Arial"/>
          <w:bCs/>
          <w:color w:val="auto"/>
        </w:rPr>
        <w:t>s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and reduce</w:t>
      </w:r>
      <w:r w:rsidR="009C4A64" w:rsidRPr="003E2470">
        <w:rPr>
          <w:rFonts w:ascii="Aptos" w:eastAsia="Calibri" w:hAnsi="Aptos" w:cs="Arial"/>
          <w:bCs/>
          <w:color w:val="auto"/>
        </w:rPr>
        <w:t xml:space="preserve"> </w:t>
      </w:r>
      <w:r w:rsidR="001C28A8" w:rsidRPr="003E2470">
        <w:rPr>
          <w:rFonts w:ascii="Aptos" w:eastAsia="Calibri" w:hAnsi="Aptos" w:cs="Arial"/>
          <w:bCs/>
          <w:color w:val="auto"/>
        </w:rPr>
        <w:t>disease severity under reduced fungicide inputs. Resistant genotypes provided yield advantages of up to 54% under no fungicide application and reduced disease severity by as much as 36%. These results indicate that adopt</w:t>
      </w:r>
      <w:r w:rsidR="00110876" w:rsidRPr="003E2470">
        <w:rPr>
          <w:rFonts w:ascii="Aptos" w:eastAsia="Calibri" w:hAnsi="Aptos" w:cs="Arial"/>
          <w:bCs/>
          <w:color w:val="auto"/>
        </w:rPr>
        <w:t>ing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resistant cultivars may allow producers to reduce fungicide inputs while maintaining productivity. Estimated economic benefits of resistant genotypes ranged from $</w:t>
      </w:r>
      <w:r w:rsidR="004869AE" w:rsidRPr="003E2470">
        <w:rPr>
          <w:rFonts w:ascii="Aptos" w:eastAsia="Calibri" w:hAnsi="Aptos" w:cs="Arial"/>
          <w:bCs/>
          <w:color w:val="auto"/>
        </w:rPr>
        <w:t>293-</w:t>
      </w:r>
      <w:r w:rsidR="00624376" w:rsidRPr="003E2470">
        <w:rPr>
          <w:rFonts w:ascii="Aptos" w:eastAsia="Calibri" w:hAnsi="Aptos" w:cs="Arial"/>
          <w:bCs/>
          <w:color w:val="auto"/>
        </w:rPr>
        <w:t>473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per acre</w:t>
      </w:r>
      <w:r w:rsidR="00692C13" w:rsidRPr="003E2470">
        <w:rPr>
          <w:rFonts w:ascii="Aptos" w:hAnsi="Aptos"/>
        </w:rPr>
        <w:t xml:space="preserve"> </w:t>
      </w:r>
      <w:r w:rsidR="00692C13" w:rsidRPr="003E2470">
        <w:rPr>
          <w:rFonts w:ascii="Aptos" w:eastAsia="Calibri" w:hAnsi="Aptos" w:cs="Arial"/>
          <w:bCs/>
          <w:color w:val="auto"/>
        </w:rPr>
        <w:t>(USDA-ERS, 2026)</w:t>
      </w:r>
      <w:r w:rsidR="001C28A8" w:rsidRPr="003E2470">
        <w:rPr>
          <w:rFonts w:ascii="Aptos" w:eastAsia="Calibri" w:hAnsi="Aptos" w:cs="Arial"/>
          <w:bCs/>
          <w:color w:val="auto"/>
        </w:rPr>
        <w:t xml:space="preserve"> when accounting for both yield gains and reduced fungicide </w:t>
      </w:r>
      <w:r w:rsidR="008F1B3B" w:rsidRPr="003E2470">
        <w:rPr>
          <w:rFonts w:ascii="Aptos" w:eastAsia="Calibri" w:hAnsi="Aptos" w:cs="Arial"/>
          <w:bCs/>
          <w:color w:val="auto"/>
        </w:rPr>
        <w:t>application costs</w:t>
      </w:r>
      <w:r w:rsidR="001C28A8" w:rsidRPr="003E2470">
        <w:rPr>
          <w:rFonts w:ascii="Aptos" w:eastAsia="Calibri" w:hAnsi="Aptos" w:cs="Arial"/>
          <w:bCs/>
          <w:color w:val="auto"/>
        </w:rPr>
        <w:t>. These findings support the integration of host resistance into peanut disease management systems to improve profitability and sustainability.</w:t>
      </w:r>
    </w:p>
    <w:sectPr w:rsidR="00B52293" w:rsidRPr="003E2470" w:rsidSect="003B0624">
      <w:pgSz w:w="12240" w:h="15840"/>
      <w:pgMar w:top="1616" w:right="1440" w:bottom="1440" w:left="1440" w:header="0" w:footer="53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4E15" w14:textId="77777777" w:rsidR="00CE6365" w:rsidRDefault="00CE6365" w:rsidP="00F77CAA">
      <w:r>
        <w:separator/>
      </w:r>
    </w:p>
  </w:endnote>
  <w:endnote w:type="continuationSeparator" w:id="0">
    <w:p w14:paraId="529DC939" w14:textId="77777777" w:rsidR="00CE6365" w:rsidRDefault="00CE6365" w:rsidP="00F7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1B78" w14:textId="77777777" w:rsidR="00CE6365" w:rsidRDefault="00CE6365" w:rsidP="00F77CAA">
      <w:r>
        <w:separator/>
      </w:r>
    </w:p>
  </w:footnote>
  <w:footnote w:type="continuationSeparator" w:id="0">
    <w:p w14:paraId="736670B7" w14:textId="77777777" w:rsidR="00CE6365" w:rsidRDefault="00CE6365" w:rsidP="00F7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6034D"/>
    <w:multiLevelType w:val="hybridMultilevel"/>
    <w:tmpl w:val="1D301922"/>
    <w:lvl w:ilvl="0" w:tplc="B96291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76EF6"/>
    <w:multiLevelType w:val="hybridMultilevel"/>
    <w:tmpl w:val="2E40B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F2958"/>
    <w:multiLevelType w:val="hybridMultilevel"/>
    <w:tmpl w:val="6E3C7616"/>
    <w:lvl w:ilvl="0" w:tplc="D466DD24">
      <w:start w:val="1"/>
      <w:numFmt w:val="upperLetter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401B7AB8"/>
    <w:multiLevelType w:val="hybridMultilevel"/>
    <w:tmpl w:val="9D10D488"/>
    <w:lvl w:ilvl="0" w:tplc="04EC3E5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550B4120"/>
    <w:multiLevelType w:val="hybridMultilevel"/>
    <w:tmpl w:val="826C0AE8"/>
    <w:lvl w:ilvl="0" w:tplc="19DEB3FC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956484"/>
    <w:multiLevelType w:val="hybridMultilevel"/>
    <w:tmpl w:val="B16C2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748AC"/>
    <w:multiLevelType w:val="hybridMultilevel"/>
    <w:tmpl w:val="01067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565390">
    <w:abstractNumId w:val="3"/>
  </w:num>
  <w:num w:numId="2" w16cid:durableId="1351297647">
    <w:abstractNumId w:val="0"/>
  </w:num>
  <w:num w:numId="3" w16cid:durableId="1766222297">
    <w:abstractNumId w:val="4"/>
  </w:num>
  <w:num w:numId="4" w16cid:durableId="1986010047">
    <w:abstractNumId w:val="6"/>
  </w:num>
  <w:num w:numId="5" w16cid:durableId="1360085753">
    <w:abstractNumId w:val="1"/>
  </w:num>
  <w:num w:numId="6" w16cid:durableId="563414927">
    <w:abstractNumId w:val="5"/>
  </w:num>
  <w:num w:numId="7" w16cid:durableId="301544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CAA"/>
    <w:rsid w:val="000013E4"/>
    <w:rsid w:val="00002174"/>
    <w:rsid w:val="00045F7D"/>
    <w:rsid w:val="000505F6"/>
    <w:rsid w:val="0006108A"/>
    <w:rsid w:val="00064092"/>
    <w:rsid w:val="000753FE"/>
    <w:rsid w:val="00094A92"/>
    <w:rsid w:val="00097015"/>
    <w:rsid w:val="000A4FA2"/>
    <w:rsid w:val="000B1692"/>
    <w:rsid w:val="000B16EF"/>
    <w:rsid w:val="000B40D2"/>
    <w:rsid w:val="000E13F6"/>
    <w:rsid w:val="001076C8"/>
    <w:rsid w:val="00110876"/>
    <w:rsid w:val="0013292C"/>
    <w:rsid w:val="00142887"/>
    <w:rsid w:val="00145C9B"/>
    <w:rsid w:val="0014796D"/>
    <w:rsid w:val="0015412F"/>
    <w:rsid w:val="0016294F"/>
    <w:rsid w:val="0018571C"/>
    <w:rsid w:val="001A14F0"/>
    <w:rsid w:val="001B490C"/>
    <w:rsid w:val="001C28A8"/>
    <w:rsid w:val="001C5755"/>
    <w:rsid w:val="001F788D"/>
    <w:rsid w:val="0023045D"/>
    <w:rsid w:val="0023564A"/>
    <w:rsid w:val="00254970"/>
    <w:rsid w:val="0025551B"/>
    <w:rsid w:val="00270D96"/>
    <w:rsid w:val="0027614F"/>
    <w:rsid w:val="00282EB7"/>
    <w:rsid w:val="0029203B"/>
    <w:rsid w:val="002B768C"/>
    <w:rsid w:val="002C41D7"/>
    <w:rsid w:val="002C4389"/>
    <w:rsid w:val="002D5927"/>
    <w:rsid w:val="002E112C"/>
    <w:rsid w:val="002E17CC"/>
    <w:rsid w:val="00303911"/>
    <w:rsid w:val="00320907"/>
    <w:rsid w:val="00332775"/>
    <w:rsid w:val="00344A34"/>
    <w:rsid w:val="0036192A"/>
    <w:rsid w:val="00384E12"/>
    <w:rsid w:val="00385024"/>
    <w:rsid w:val="00391603"/>
    <w:rsid w:val="003A06EF"/>
    <w:rsid w:val="003B0624"/>
    <w:rsid w:val="003D273C"/>
    <w:rsid w:val="003E2470"/>
    <w:rsid w:val="00421895"/>
    <w:rsid w:val="004407F2"/>
    <w:rsid w:val="00443C6C"/>
    <w:rsid w:val="004633ED"/>
    <w:rsid w:val="00471633"/>
    <w:rsid w:val="00473E7C"/>
    <w:rsid w:val="00477FCC"/>
    <w:rsid w:val="00483881"/>
    <w:rsid w:val="004869AE"/>
    <w:rsid w:val="00492B49"/>
    <w:rsid w:val="00494162"/>
    <w:rsid w:val="004A0805"/>
    <w:rsid w:val="004E2883"/>
    <w:rsid w:val="004F1A1D"/>
    <w:rsid w:val="004F3C2A"/>
    <w:rsid w:val="00532FDC"/>
    <w:rsid w:val="005333A4"/>
    <w:rsid w:val="0053763D"/>
    <w:rsid w:val="005424E4"/>
    <w:rsid w:val="00545AB2"/>
    <w:rsid w:val="00551B92"/>
    <w:rsid w:val="00552CAF"/>
    <w:rsid w:val="005E3ADA"/>
    <w:rsid w:val="005E6F9F"/>
    <w:rsid w:val="005F11E6"/>
    <w:rsid w:val="00603548"/>
    <w:rsid w:val="00616D76"/>
    <w:rsid w:val="00624376"/>
    <w:rsid w:val="00652F58"/>
    <w:rsid w:val="00662B1B"/>
    <w:rsid w:val="00673544"/>
    <w:rsid w:val="00685A95"/>
    <w:rsid w:val="00692C13"/>
    <w:rsid w:val="00696CA1"/>
    <w:rsid w:val="006A35DE"/>
    <w:rsid w:val="006A4A44"/>
    <w:rsid w:val="006B27F3"/>
    <w:rsid w:val="006C703D"/>
    <w:rsid w:val="006D2739"/>
    <w:rsid w:val="006E3C4E"/>
    <w:rsid w:val="006E79CC"/>
    <w:rsid w:val="006F4386"/>
    <w:rsid w:val="00710EBE"/>
    <w:rsid w:val="0073220F"/>
    <w:rsid w:val="0074040C"/>
    <w:rsid w:val="00747F65"/>
    <w:rsid w:val="00753165"/>
    <w:rsid w:val="007846C8"/>
    <w:rsid w:val="007A2077"/>
    <w:rsid w:val="007E45DD"/>
    <w:rsid w:val="007E6F66"/>
    <w:rsid w:val="00805EB4"/>
    <w:rsid w:val="00806B7A"/>
    <w:rsid w:val="00847560"/>
    <w:rsid w:val="00882B9D"/>
    <w:rsid w:val="0089415A"/>
    <w:rsid w:val="008B046E"/>
    <w:rsid w:val="008D0298"/>
    <w:rsid w:val="008D7E2A"/>
    <w:rsid w:val="008E4D00"/>
    <w:rsid w:val="008F1B3B"/>
    <w:rsid w:val="0090327E"/>
    <w:rsid w:val="009220ED"/>
    <w:rsid w:val="00933AA0"/>
    <w:rsid w:val="009352FE"/>
    <w:rsid w:val="009361F6"/>
    <w:rsid w:val="0093791F"/>
    <w:rsid w:val="00957FB9"/>
    <w:rsid w:val="00983F48"/>
    <w:rsid w:val="009850B1"/>
    <w:rsid w:val="009C4A64"/>
    <w:rsid w:val="009C6129"/>
    <w:rsid w:val="009E3E5C"/>
    <w:rsid w:val="009F1A88"/>
    <w:rsid w:val="00A11A58"/>
    <w:rsid w:val="00A16B3D"/>
    <w:rsid w:val="00A307C2"/>
    <w:rsid w:val="00A358BA"/>
    <w:rsid w:val="00A3596D"/>
    <w:rsid w:val="00A46271"/>
    <w:rsid w:val="00A6022B"/>
    <w:rsid w:val="00A669BC"/>
    <w:rsid w:val="00A66BAE"/>
    <w:rsid w:val="00A77B76"/>
    <w:rsid w:val="00A821B5"/>
    <w:rsid w:val="00A8760A"/>
    <w:rsid w:val="00A90DD7"/>
    <w:rsid w:val="00AC3C0E"/>
    <w:rsid w:val="00AE7D4A"/>
    <w:rsid w:val="00B13016"/>
    <w:rsid w:val="00B1301C"/>
    <w:rsid w:val="00B24E89"/>
    <w:rsid w:val="00B250B6"/>
    <w:rsid w:val="00B37036"/>
    <w:rsid w:val="00B52293"/>
    <w:rsid w:val="00B522B7"/>
    <w:rsid w:val="00B60069"/>
    <w:rsid w:val="00B7181A"/>
    <w:rsid w:val="00B72670"/>
    <w:rsid w:val="00B87E39"/>
    <w:rsid w:val="00B90B23"/>
    <w:rsid w:val="00B92200"/>
    <w:rsid w:val="00B96C93"/>
    <w:rsid w:val="00BA6DB9"/>
    <w:rsid w:val="00BB0FE7"/>
    <w:rsid w:val="00BC3041"/>
    <w:rsid w:val="00BE3F5D"/>
    <w:rsid w:val="00BF0078"/>
    <w:rsid w:val="00BF40E3"/>
    <w:rsid w:val="00BF7405"/>
    <w:rsid w:val="00C203B0"/>
    <w:rsid w:val="00C42C80"/>
    <w:rsid w:val="00C620DD"/>
    <w:rsid w:val="00C64B5D"/>
    <w:rsid w:val="00C77B5D"/>
    <w:rsid w:val="00C8163F"/>
    <w:rsid w:val="00C9479D"/>
    <w:rsid w:val="00CA4F59"/>
    <w:rsid w:val="00CD6240"/>
    <w:rsid w:val="00CE6365"/>
    <w:rsid w:val="00D105B2"/>
    <w:rsid w:val="00D26B32"/>
    <w:rsid w:val="00D53C3C"/>
    <w:rsid w:val="00D66528"/>
    <w:rsid w:val="00D762E1"/>
    <w:rsid w:val="00D903B8"/>
    <w:rsid w:val="00DA606C"/>
    <w:rsid w:val="00DB256B"/>
    <w:rsid w:val="00DB65EC"/>
    <w:rsid w:val="00DC3D85"/>
    <w:rsid w:val="00DE69FA"/>
    <w:rsid w:val="00E15532"/>
    <w:rsid w:val="00E35AE5"/>
    <w:rsid w:val="00E37978"/>
    <w:rsid w:val="00E41331"/>
    <w:rsid w:val="00E51263"/>
    <w:rsid w:val="00E52D06"/>
    <w:rsid w:val="00E73419"/>
    <w:rsid w:val="00E73784"/>
    <w:rsid w:val="00E92C77"/>
    <w:rsid w:val="00E95127"/>
    <w:rsid w:val="00EA0E2A"/>
    <w:rsid w:val="00EA7BDC"/>
    <w:rsid w:val="00EC2767"/>
    <w:rsid w:val="00EE207B"/>
    <w:rsid w:val="00EE45D2"/>
    <w:rsid w:val="00EF1C6B"/>
    <w:rsid w:val="00F238C5"/>
    <w:rsid w:val="00F33A9C"/>
    <w:rsid w:val="00F47BA9"/>
    <w:rsid w:val="00F77CAA"/>
    <w:rsid w:val="00F85CF4"/>
    <w:rsid w:val="00F92DE1"/>
    <w:rsid w:val="00FD68C8"/>
    <w:rsid w:val="00FF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CDCE6D"/>
  <w14:defaultImageDpi w14:val="32767"/>
  <w15:chartTrackingRefBased/>
  <w15:docId w15:val="{49672B94-C2E9-4DD7-B7EB-C55CA7AF9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color w:val="000000" w:themeColor="text1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7CAA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7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7CAA"/>
    <w:rPr>
      <w:rFonts w:eastAsiaTheme="minorEastAsia"/>
    </w:rPr>
  </w:style>
  <w:style w:type="paragraph" w:customStyle="1" w:styleId="Noparagraphstyle">
    <w:name w:val="[No paragraph style]"/>
    <w:rsid w:val="00F77CA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 w:cs="Times New Roman"/>
      <w:color w:val="000000"/>
      <w:szCs w:val="20"/>
    </w:rPr>
  </w:style>
  <w:style w:type="character" w:styleId="Hyperlink">
    <w:name w:val="Hyperlink"/>
    <w:basedOn w:val="DefaultParagraphFont"/>
    <w:uiPriority w:val="99"/>
    <w:unhideWhenUsed/>
    <w:rsid w:val="00E52D0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2077"/>
    <w:pPr>
      <w:ind w:left="720"/>
      <w:contextualSpacing/>
    </w:pPr>
  </w:style>
  <w:style w:type="paragraph" w:customStyle="1" w:styleId="Default">
    <w:name w:val="Default"/>
    <w:rsid w:val="007A2077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</w:rPr>
  </w:style>
  <w:style w:type="character" w:styleId="Strong">
    <w:name w:val="Strong"/>
    <w:basedOn w:val="DefaultParagraphFont"/>
    <w:uiPriority w:val="22"/>
    <w:qFormat/>
    <w:rsid w:val="0049416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F0078"/>
    <w:rPr>
      <w:color w:val="605E5C"/>
      <w:shd w:val="clear" w:color="auto" w:fill="E1DFDD"/>
    </w:rPr>
  </w:style>
  <w:style w:type="character" w:customStyle="1" w:styleId="rpc411">
    <w:name w:val="_rpc_411"/>
    <w:basedOn w:val="DefaultParagraphFont"/>
    <w:rsid w:val="00B522B7"/>
  </w:style>
  <w:style w:type="paragraph" w:styleId="Revision">
    <w:name w:val="Revision"/>
    <w:hidden/>
    <w:uiPriority w:val="99"/>
    <w:semiHidden/>
    <w:rsid w:val="00847560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8475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75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7560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5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560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1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A93C8A7C38347A53E26DC7C65F8B6" ma:contentTypeVersion="4" ma:contentTypeDescription="Create a new document." ma:contentTypeScope="" ma:versionID="133d942cf272f36efa3cb0ee06e33653">
  <xsd:schema xmlns:xsd="http://www.w3.org/2001/XMLSchema" xmlns:xs="http://www.w3.org/2001/XMLSchema" xmlns:p="http://schemas.microsoft.com/office/2006/metadata/properties" xmlns:ns2="ca34223b-99c3-426b-b9b5-a74bf34f393a" targetNamespace="http://schemas.microsoft.com/office/2006/metadata/properties" ma:root="true" ma:fieldsID="8726ed08aea87bcfaef6b917d85f335c" ns2:_="">
    <xsd:import namespace="ca34223b-99c3-426b-b9b5-a74bf34f39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34223b-99c3-426b-b9b5-a74bf34f3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947EFA-46AE-4A99-937E-8087A526C9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2318D7-C5B9-4030-ABC7-FD8C8A37E8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A2355F-DFDE-4A48-AECF-3383F7A26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34223b-99c3-426b-b9b5-a74bf34f3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2724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Bryant, Tracy</dc:creator>
  <cp:keywords/>
  <dc:description/>
  <cp:lastModifiedBy>Leonard,Daniel J</cp:lastModifiedBy>
  <cp:revision>6</cp:revision>
  <dcterms:created xsi:type="dcterms:W3CDTF">2026-03-30T17:05:00Z</dcterms:created>
  <dcterms:modified xsi:type="dcterms:W3CDTF">2026-03-30T17:07:00Z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0x010100C9DA93C8A7C38347A53E26DC7C65F8B6</vt:lpwstr>
  </property>
</Properties>
</file>