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47EA0" w14:textId="77777777" w:rsidR="00156493" w:rsidRDefault="00156493" w:rsidP="00740822">
      <w:pPr>
        <w:rPr>
          <w:b/>
          <w:bCs/>
        </w:rPr>
      </w:pPr>
      <w:r w:rsidRPr="00156493">
        <w:rPr>
          <w:b/>
          <w:bCs/>
        </w:rPr>
        <w:t>Drought Response in Peanut: Physiological and Transcriptomic Differences Between Water Savers and Water Spenders</w:t>
      </w:r>
    </w:p>
    <w:p w14:paraId="36CF36BF" w14:textId="748550D2" w:rsidR="00156493" w:rsidRDefault="00156493" w:rsidP="00740822">
      <w:pPr>
        <w:rPr>
          <w:b/>
          <w:bCs/>
        </w:rPr>
      </w:pPr>
    </w:p>
    <w:p w14:paraId="0E269631" w14:textId="6AFA4704" w:rsidR="00156493" w:rsidRPr="00DE4471" w:rsidRDefault="00156493" w:rsidP="00156493">
      <w:pPr>
        <w:rPr>
          <w:rFonts w:cs="Times New Roman"/>
        </w:rPr>
      </w:pPr>
      <w:proofErr w:type="gramStart"/>
      <w:r w:rsidRPr="00D4551B">
        <w:rPr>
          <w:rFonts w:cs="Times New Roman"/>
        </w:rPr>
        <w:t>Zhang,  J.</w:t>
      </w:r>
      <w:r w:rsidRPr="00D4551B">
        <w:rPr>
          <w:rFonts w:cs="Times New Roman"/>
          <w:vertAlign w:val="superscript"/>
        </w:rPr>
        <w:t>1</w:t>
      </w:r>
      <w:proofErr w:type="gramEnd"/>
      <w:r w:rsidRPr="00D4551B">
        <w:rPr>
          <w:rFonts w:cs="Times New Roman"/>
        </w:rPr>
        <w:t>,</w:t>
      </w:r>
      <w:r>
        <w:rPr>
          <w:rFonts w:cs="Times New Roman"/>
          <w:b/>
          <w:bCs/>
        </w:rPr>
        <w:t xml:space="preserve"> </w:t>
      </w:r>
      <w:r w:rsidRPr="00DE4471">
        <w:rPr>
          <w:rFonts w:cs="Times New Roman"/>
        </w:rPr>
        <w:t>Hanif, S</w:t>
      </w:r>
      <w:r w:rsidRPr="00156493">
        <w:rPr>
          <w:rFonts w:cs="Times New Roman"/>
          <w:vertAlign w:val="superscript"/>
        </w:rPr>
        <w:t>1</w:t>
      </w:r>
      <w:r w:rsidRPr="00DE4471">
        <w:rPr>
          <w:rFonts w:cs="Times New Roman"/>
        </w:rPr>
        <w:t>., Lamb, M</w:t>
      </w:r>
      <w:r w:rsidRPr="00156493">
        <w:rPr>
          <w:rFonts w:cs="Times New Roman"/>
          <w:vertAlign w:val="superscript"/>
        </w:rPr>
        <w:t>2</w:t>
      </w:r>
      <w:r w:rsidRPr="00DE4471">
        <w:rPr>
          <w:rFonts w:cs="Times New Roman"/>
        </w:rPr>
        <w:t>., Dang, P.</w:t>
      </w:r>
      <w:r w:rsidRPr="00DE4471">
        <w:rPr>
          <w:rFonts w:cs="Times New Roman"/>
          <w:vertAlign w:val="superscript"/>
        </w:rPr>
        <w:t>2</w:t>
      </w:r>
      <w:r w:rsidRPr="00DE4471">
        <w:rPr>
          <w:rFonts w:cs="Times New Roman"/>
        </w:rPr>
        <w:t xml:space="preserve">, </w:t>
      </w:r>
      <w:r>
        <w:rPr>
          <w:rFonts w:cs="Times New Roman"/>
        </w:rPr>
        <w:t>Yucheng, F</w:t>
      </w:r>
      <w:r w:rsidRPr="00DE4471">
        <w:rPr>
          <w:rFonts w:cs="Times New Roman"/>
          <w:vertAlign w:val="superscript"/>
        </w:rPr>
        <w:t>1</w:t>
      </w:r>
      <w:r>
        <w:rPr>
          <w:rFonts w:cs="Times New Roman"/>
        </w:rPr>
        <w:t>.</w:t>
      </w:r>
      <w:r w:rsidRPr="00DE4471">
        <w:rPr>
          <w:rFonts w:cs="Times New Roman"/>
        </w:rPr>
        <w:t>, Sanz-Saez, A</w:t>
      </w:r>
      <w:r w:rsidRPr="00DE4471">
        <w:rPr>
          <w:rFonts w:cs="Times New Roman"/>
          <w:vertAlign w:val="superscript"/>
        </w:rPr>
        <w:t>1</w:t>
      </w:r>
      <w:r w:rsidRPr="00DE4471">
        <w:rPr>
          <w:rFonts w:cs="Times New Roman"/>
        </w:rPr>
        <w:t>.</w:t>
      </w:r>
      <w:r>
        <w:rPr>
          <w:rFonts w:cs="Times New Roman"/>
        </w:rPr>
        <w:t xml:space="preserve">, </w:t>
      </w:r>
      <w:r w:rsidRPr="00D4551B">
        <w:rPr>
          <w:rFonts w:cs="Times New Roman"/>
          <w:b/>
          <w:bCs/>
        </w:rPr>
        <w:t>Chen, C.</w:t>
      </w:r>
      <w:r w:rsidRPr="00D4551B">
        <w:rPr>
          <w:rFonts w:cs="Times New Roman"/>
          <w:b/>
          <w:bCs/>
          <w:vertAlign w:val="superscript"/>
        </w:rPr>
        <w:t>1</w:t>
      </w:r>
      <w:r w:rsidRPr="00DE4471">
        <w:rPr>
          <w:rFonts w:cs="Times New Roman"/>
        </w:rPr>
        <w:t xml:space="preserve"> </w:t>
      </w:r>
    </w:p>
    <w:p w14:paraId="795C8C7F" w14:textId="3898376C" w:rsidR="00156493" w:rsidRPr="00DE4471" w:rsidRDefault="00156493" w:rsidP="00156493">
      <w:pPr>
        <w:rPr>
          <w:rFonts w:cs="Times New Roman"/>
        </w:rPr>
      </w:pPr>
      <w:r w:rsidRPr="00DE4471">
        <w:rPr>
          <w:rFonts w:cs="Times New Roman"/>
          <w:vertAlign w:val="superscript"/>
        </w:rPr>
        <w:t>1</w:t>
      </w:r>
      <w:r w:rsidRPr="00DE4471">
        <w:rPr>
          <w:rFonts w:cs="Times New Roman"/>
        </w:rPr>
        <w:t xml:space="preserve">Crop, Soil and Environmental Sciences Department, Auburn University, Auburn, AL 36849, USA; </w:t>
      </w:r>
      <w:r w:rsidRPr="00DE4471">
        <w:rPr>
          <w:rFonts w:cs="Times New Roman"/>
          <w:vertAlign w:val="superscript"/>
        </w:rPr>
        <w:t>2</w:t>
      </w:r>
      <w:r w:rsidRPr="00DE4471">
        <w:rPr>
          <w:rFonts w:cs="Times New Roman"/>
        </w:rPr>
        <w:t xml:space="preserve">National Peanut Research Laboratory, Dawson, GA 39842 </w:t>
      </w:r>
    </w:p>
    <w:p w14:paraId="2DDC7F44" w14:textId="77777777" w:rsidR="00156493" w:rsidRDefault="00156493" w:rsidP="00740822">
      <w:pPr>
        <w:rPr>
          <w:rFonts w:cs="Times New Roman"/>
        </w:rPr>
      </w:pPr>
    </w:p>
    <w:p w14:paraId="09E97495" w14:textId="0505FC1D" w:rsidR="00A3782E" w:rsidRDefault="00D31776" w:rsidP="00740822">
      <w:r w:rsidRPr="00F24021">
        <w:rPr>
          <w:rFonts w:cs="Times New Roman"/>
        </w:rPr>
        <w:t xml:space="preserve">Recently, our research group identified peanut cultivars with high water-use efficiency (WUE, water-saver: AU16-28) and efficient use of water (EUW, water-spender: AU-NPL-17). </w:t>
      </w:r>
      <w:r>
        <w:rPr>
          <w:rFonts w:cs="Times New Roman"/>
        </w:rPr>
        <w:t xml:space="preserve">To understand these two </w:t>
      </w:r>
      <w:r>
        <w:t>contrasting strategies of drought tolerance in peanuts</w:t>
      </w:r>
      <w:r w:rsidR="00C0678D">
        <w:t>,</w:t>
      </w:r>
      <w:r>
        <w:t xml:space="preserve"> </w:t>
      </w:r>
      <w:r w:rsidR="00FF7884">
        <w:t xml:space="preserve">we </w:t>
      </w:r>
      <w:r w:rsidR="00333E46">
        <w:t>evaluated</w:t>
      </w:r>
      <w:r w:rsidR="00FF7884">
        <w:t xml:space="preserve"> </w:t>
      </w:r>
      <w:r>
        <w:t xml:space="preserve">physiological </w:t>
      </w:r>
      <w:r w:rsidR="00FF7884">
        <w:t xml:space="preserve">traits </w:t>
      </w:r>
      <w:r>
        <w:t xml:space="preserve">and </w:t>
      </w:r>
      <w:r w:rsidR="00740822">
        <w:t xml:space="preserve">generated leaf transcriptome profiles from 120 samples spanning five peanut genotypes (AU16, line8, AU17, PI50, and PI39) </w:t>
      </w:r>
      <w:r>
        <w:t xml:space="preserve">under </w:t>
      </w:r>
      <w:r w:rsidR="00740822">
        <w:t>progressive drought</w:t>
      </w:r>
      <w:r>
        <w:t xml:space="preserve"> conditions</w:t>
      </w:r>
      <w:r w:rsidR="00740822">
        <w:t xml:space="preserve">. We </w:t>
      </w:r>
      <w:r w:rsidR="0032363E">
        <w:t>performed</w:t>
      </w:r>
      <w:r w:rsidR="00740822">
        <w:t xml:space="preserve"> differential expression analysis </w:t>
      </w:r>
      <w:r w:rsidR="0032363E">
        <w:t xml:space="preserve">and </w:t>
      </w:r>
      <w:proofErr w:type="gramStart"/>
      <w:r w:rsidR="00740822">
        <w:t>weighted</w:t>
      </w:r>
      <w:proofErr w:type="gramEnd"/>
      <w:r w:rsidR="00740822">
        <w:t xml:space="preserve"> gene co-expression network analysis (WGCNA)</w:t>
      </w:r>
      <w:r w:rsidR="0032363E">
        <w:t xml:space="preserve">. </w:t>
      </w:r>
      <w:r w:rsidR="00740822">
        <w:t xml:space="preserve"> </w:t>
      </w:r>
      <w:r w:rsidR="0032363E">
        <w:t xml:space="preserve">We found that </w:t>
      </w:r>
      <w:r w:rsidR="00740822">
        <w:t xml:space="preserve">drought progression was the dominant source of transcriptomic variation. For network analysis, WGCNA was performed on drought-stage samples (C1, C3, and C5; 45 samples total) using the 6,000 most variable </w:t>
      </w:r>
      <w:r w:rsidR="007F1FDD">
        <w:t xml:space="preserve">genes and </w:t>
      </w:r>
      <w:r w:rsidR="00740822">
        <w:t>identif</w:t>
      </w:r>
      <w:r w:rsidR="007F1FDD">
        <w:t>ied</w:t>
      </w:r>
      <w:r w:rsidR="00740822">
        <w:t xml:space="preserve"> 22 non-grey modules. Module–trait analysis confirmed a strong temporal drought axis (e.g., </w:t>
      </w:r>
      <w:proofErr w:type="spellStart"/>
      <w:r w:rsidR="00740822">
        <w:t>MEpink</w:t>
      </w:r>
      <w:proofErr w:type="spellEnd"/>
      <w:r w:rsidR="00740822">
        <w:t xml:space="preserve">, r = 0.979 with drought stage/time). Importantly, two modules were significantly associated with the water-spender indicator but not with drought stage, revealing a second, orthogonal axis linked to drought-response strategy: </w:t>
      </w:r>
      <w:proofErr w:type="spellStart"/>
      <w:r w:rsidR="00740822">
        <w:t>MEcyan</w:t>
      </w:r>
      <w:proofErr w:type="spellEnd"/>
      <w:r w:rsidR="00740822">
        <w:t xml:space="preserve"> (negative association with water spender) and </w:t>
      </w:r>
      <w:proofErr w:type="spellStart"/>
      <w:r w:rsidR="00740822">
        <w:t>MEtan</w:t>
      </w:r>
      <w:proofErr w:type="spellEnd"/>
      <w:r w:rsidR="00740822">
        <w:t xml:space="preserve"> (positive association with water spender).</w:t>
      </w:r>
      <w:r w:rsidR="0032363E">
        <w:t xml:space="preserve"> </w:t>
      </w:r>
      <w:r w:rsidR="00740822">
        <w:t xml:space="preserve">Functional enrichment indicated clear biological contrasts between strategy modules. </w:t>
      </w:r>
      <w:proofErr w:type="spellStart"/>
      <w:r w:rsidR="00740822">
        <w:t>MEcyan</w:t>
      </w:r>
      <w:proofErr w:type="spellEnd"/>
      <w:r w:rsidR="00740822">
        <w:t xml:space="preserve"> was enriched for ribosome/translation and aminoacyl-tRNA biosynthesis, consistent with a translational maintenance program characteristic of water-saving behavior. In contrast, </w:t>
      </w:r>
      <w:proofErr w:type="spellStart"/>
      <w:r w:rsidR="00740822">
        <w:t>MEtan</w:t>
      </w:r>
      <w:proofErr w:type="spellEnd"/>
      <w:r w:rsidR="00740822">
        <w:t xml:space="preserve"> was enriched for cysteine-type peptidase activity and stress-associated pathways, including proline metabolism and MAPK signaling, consistent with stronger protein turnover, osmotic adjustment, and stress signaling in water spenders. Hub-gene prioritization integrating module membership and strategy association identified candidate regulators in both modules for downstream validation.</w:t>
      </w:r>
      <w:r w:rsidR="0032363E">
        <w:t xml:space="preserve"> T</w:t>
      </w:r>
      <w:r w:rsidR="00740822">
        <w:t>hese results support a two-axis model of the peanut drought transcriptome: a dominant time-driven core response plus a distinct strategy-linked program, providing candidate modules and hub genes for mechanistic studies and breeding improvement.</w:t>
      </w:r>
    </w:p>
    <w:sectPr w:rsidR="00A378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6C1"/>
    <w:multiLevelType w:val="hybridMultilevel"/>
    <w:tmpl w:val="46CA49E6"/>
    <w:lvl w:ilvl="0" w:tplc="76A29F12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5A0824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B60724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90E3BC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929684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1A3A98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0419A0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101BCA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3A03BA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3137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22"/>
    <w:rsid w:val="000064B0"/>
    <w:rsid w:val="00033689"/>
    <w:rsid w:val="000444B8"/>
    <w:rsid w:val="00075E96"/>
    <w:rsid w:val="000E7C2B"/>
    <w:rsid w:val="0013646C"/>
    <w:rsid w:val="00156493"/>
    <w:rsid w:val="00173AB7"/>
    <w:rsid w:val="00255C3E"/>
    <w:rsid w:val="0032363E"/>
    <w:rsid w:val="0033181E"/>
    <w:rsid w:val="00333E46"/>
    <w:rsid w:val="00337084"/>
    <w:rsid w:val="00361D46"/>
    <w:rsid w:val="0038653B"/>
    <w:rsid w:val="003A0CD8"/>
    <w:rsid w:val="003A3041"/>
    <w:rsid w:val="003D6545"/>
    <w:rsid w:val="003F3D00"/>
    <w:rsid w:val="0040021D"/>
    <w:rsid w:val="0043511C"/>
    <w:rsid w:val="0045320D"/>
    <w:rsid w:val="00475D64"/>
    <w:rsid w:val="004915C4"/>
    <w:rsid w:val="004B3368"/>
    <w:rsid w:val="004B7344"/>
    <w:rsid w:val="00502C8B"/>
    <w:rsid w:val="00520E24"/>
    <w:rsid w:val="005B2ACF"/>
    <w:rsid w:val="005D3375"/>
    <w:rsid w:val="00610B5A"/>
    <w:rsid w:val="00692501"/>
    <w:rsid w:val="006A36BD"/>
    <w:rsid w:val="006A5260"/>
    <w:rsid w:val="006C53D6"/>
    <w:rsid w:val="006C67BF"/>
    <w:rsid w:val="00740822"/>
    <w:rsid w:val="0076113E"/>
    <w:rsid w:val="007A7705"/>
    <w:rsid w:val="007E3F1F"/>
    <w:rsid w:val="007E5343"/>
    <w:rsid w:val="007F1FDD"/>
    <w:rsid w:val="00814A0A"/>
    <w:rsid w:val="008352C2"/>
    <w:rsid w:val="0086146F"/>
    <w:rsid w:val="00867F1A"/>
    <w:rsid w:val="008E008F"/>
    <w:rsid w:val="00916BF7"/>
    <w:rsid w:val="00967A11"/>
    <w:rsid w:val="009D0E32"/>
    <w:rsid w:val="009F562F"/>
    <w:rsid w:val="009F5B92"/>
    <w:rsid w:val="00A13BE7"/>
    <w:rsid w:val="00A259F2"/>
    <w:rsid w:val="00A3782E"/>
    <w:rsid w:val="00A533C8"/>
    <w:rsid w:val="00AC56E6"/>
    <w:rsid w:val="00AD5CB6"/>
    <w:rsid w:val="00B219BD"/>
    <w:rsid w:val="00BA1D96"/>
    <w:rsid w:val="00C0678D"/>
    <w:rsid w:val="00C13D93"/>
    <w:rsid w:val="00C27523"/>
    <w:rsid w:val="00C545E1"/>
    <w:rsid w:val="00C54936"/>
    <w:rsid w:val="00C733B5"/>
    <w:rsid w:val="00D20F29"/>
    <w:rsid w:val="00D31776"/>
    <w:rsid w:val="00D33AEE"/>
    <w:rsid w:val="00D35062"/>
    <w:rsid w:val="00D4551B"/>
    <w:rsid w:val="00D47E88"/>
    <w:rsid w:val="00D51F9E"/>
    <w:rsid w:val="00D52AA4"/>
    <w:rsid w:val="00DF3539"/>
    <w:rsid w:val="00E1451B"/>
    <w:rsid w:val="00E17831"/>
    <w:rsid w:val="00E45CAE"/>
    <w:rsid w:val="00E56756"/>
    <w:rsid w:val="00E7434D"/>
    <w:rsid w:val="00EB48C3"/>
    <w:rsid w:val="00F13FFA"/>
    <w:rsid w:val="00F2468C"/>
    <w:rsid w:val="00F314C6"/>
    <w:rsid w:val="00F420FA"/>
    <w:rsid w:val="00F47037"/>
    <w:rsid w:val="00F706C6"/>
    <w:rsid w:val="00FB2DE7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4E329"/>
  <w15:chartTrackingRefBased/>
  <w15:docId w15:val="{90F04D83-8FA7-A741-9D16-C2516351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8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8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8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8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8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8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8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8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 Zhang</dc:creator>
  <cp:keywords/>
  <dc:description/>
  <cp:lastModifiedBy>Charles Chen</cp:lastModifiedBy>
  <cp:revision>7</cp:revision>
  <dcterms:created xsi:type="dcterms:W3CDTF">2026-03-31T21:35:00Z</dcterms:created>
  <dcterms:modified xsi:type="dcterms:W3CDTF">2026-03-31T21:46:00Z</dcterms:modified>
</cp:coreProperties>
</file>