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59A9473" w14:textId="77777777" w:rsidR="00FB3354" w:rsidRPr="00FD2F93" w:rsidRDefault="00FD2F93" w:rsidP="00FD2F93">
      <w:pPr>
        <w:spacing w:after="120" w:line="240" w:lineRule="auto"/>
        <w:ind w:left="720"/>
        <w:rPr>
          <w:b/>
          <w:bCs/>
        </w:rPr>
      </w:pPr>
      <w:bookmarkStart w:id="0" w:name="_s7xf1tfzf7q2" w:colFirst="0" w:colLast="0"/>
      <w:bookmarkEnd w:id="0"/>
      <w:r w:rsidRPr="00FD2F93">
        <w:rPr>
          <w:b/>
          <w:bCs/>
          <w:noProof/>
        </w:rPr>
        <w:drawing>
          <wp:inline distT="114300" distB="114300" distL="114300" distR="114300" wp14:anchorId="3B1D0554" wp14:editId="63622B66">
            <wp:extent cx="3943350" cy="1352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943350" cy="1352550"/>
                    </a:xfrm>
                    <a:prstGeom prst="rect">
                      <a:avLst/>
                    </a:prstGeom>
                    <a:ln/>
                  </pic:spPr>
                </pic:pic>
              </a:graphicData>
            </a:graphic>
          </wp:inline>
        </w:drawing>
      </w:r>
    </w:p>
    <w:p w14:paraId="7EA92117" w14:textId="77777777" w:rsidR="00FD2F93" w:rsidRDefault="00FD2F93" w:rsidP="00FD2F93">
      <w:pPr>
        <w:spacing w:after="120" w:line="240" w:lineRule="auto"/>
        <w:rPr>
          <w:b/>
          <w:bCs/>
          <w:sz w:val="26"/>
          <w:szCs w:val="26"/>
          <w:lang w:val="en-US"/>
        </w:rPr>
      </w:pPr>
    </w:p>
    <w:p w14:paraId="363DD891" w14:textId="6A0FE3F5" w:rsidR="00FB3354" w:rsidRPr="00FD2F93" w:rsidRDefault="00FD2F93" w:rsidP="00FD2F93">
      <w:pPr>
        <w:spacing w:after="120" w:line="240" w:lineRule="auto"/>
        <w:rPr>
          <w:b/>
          <w:bCs/>
          <w:i/>
          <w:iCs/>
          <w:sz w:val="24"/>
          <w:szCs w:val="24"/>
          <w:lang w:val="en-US"/>
        </w:rPr>
      </w:pPr>
      <w:r w:rsidRPr="00FD2F93">
        <w:rPr>
          <w:b/>
          <w:bCs/>
          <w:sz w:val="24"/>
          <w:szCs w:val="24"/>
          <w:lang w:val="en-US"/>
        </w:rPr>
        <w:t xml:space="preserve">High-Accuracy SNP Markers for Peanut Smut Resistance Identified by GWAS in </w:t>
      </w:r>
      <w:r w:rsidRPr="00FD2F93">
        <w:rPr>
          <w:b/>
          <w:bCs/>
          <w:i/>
          <w:iCs/>
          <w:sz w:val="24"/>
          <w:szCs w:val="24"/>
          <w:lang w:val="en-US"/>
        </w:rPr>
        <w:t>Arachis hypogaea</w:t>
      </w:r>
    </w:p>
    <w:p w14:paraId="7DAA15E1" w14:textId="77777777" w:rsidR="00FB3354" w:rsidRPr="00FD2F93" w:rsidRDefault="00FD2F93" w:rsidP="00FD2F93">
      <w:pPr>
        <w:spacing w:before="240" w:after="120" w:line="240" w:lineRule="auto"/>
        <w:rPr>
          <w:sz w:val="24"/>
          <w:szCs w:val="24"/>
        </w:rPr>
      </w:pPr>
      <w:r w:rsidRPr="00FD2F93">
        <w:rPr>
          <w:b/>
          <w:bCs/>
          <w:sz w:val="24"/>
          <w:szCs w:val="24"/>
        </w:rPr>
        <w:t>BRESSANO, M.</w:t>
      </w:r>
      <w:r w:rsidRPr="00FD2F93">
        <w:rPr>
          <w:sz w:val="24"/>
          <w:szCs w:val="24"/>
        </w:rPr>
        <w:t xml:space="preserve">*, de Blas, F., Universidad Nacional de Córdoba, Facultad de Ciencias Agropecuarias, Córdoba, Córdoba, Argentina X5000; </w:t>
      </w:r>
      <w:proofErr w:type="spellStart"/>
      <w:r w:rsidRPr="00FD2F93">
        <w:rPr>
          <w:sz w:val="24"/>
          <w:szCs w:val="24"/>
        </w:rPr>
        <w:t>Garcia</w:t>
      </w:r>
      <w:proofErr w:type="spellEnd"/>
      <w:r w:rsidRPr="00FD2F93">
        <w:rPr>
          <w:sz w:val="24"/>
          <w:szCs w:val="24"/>
        </w:rPr>
        <w:t xml:space="preserve">, J., </w:t>
      </w:r>
      <w:proofErr w:type="spellStart"/>
      <w:r w:rsidRPr="00FD2F93">
        <w:rPr>
          <w:sz w:val="24"/>
          <w:szCs w:val="24"/>
        </w:rPr>
        <w:t>Yaduru</w:t>
      </w:r>
      <w:proofErr w:type="spellEnd"/>
      <w:r w:rsidRPr="00FD2F93">
        <w:rPr>
          <w:sz w:val="24"/>
          <w:szCs w:val="24"/>
        </w:rPr>
        <w:t xml:space="preserve">, S., Moore, L., Moore, K., </w:t>
      </w:r>
      <w:proofErr w:type="spellStart"/>
      <w:r w:rsidRPr="00FD2F93">
        <w:rPr>
          <w:sz w:val="24"/>
          <w:szCs w:val="24"/>
        </w:rPr>
        <w:t>AgResearch</w:t>
      </w:r>
      <w:proofErr w:type="spellEnd"/>
      <w:r w:rsidRPr="00FD2F93">
        <w:rPr>
          <w:sz w:val="24"/>
          <w:szCs w:val="24"/>
        </w:rPr>
        <w:t xml:space="preserve"> </w:t>
      </w:r>
      <w:proofErr w:type="spellStart"/>
      <w:r w:rsidRPr="00FD2F93">
        <w:rPr>
          <w:sz w:val="24"/>
          <w:szCs w:val="24"/>
        </w:rPr>
        <w:t>Consultants</w:t>
      </w:r>
      <w:proofErr w:type="spellEnd"/>
      <w:r w:rsidRPr="00FD2F93">
        <w:rPr>
          <w:sz w:val="24"/>
          <w:szCs w:val="24"/>
        </w:rPr>
        <w:t xml:space="preserve"> Inc., 1441 </w:t>
      </w:r>
      <w:proofErr w:type="spellStart"/>
      <w:r w:rsidRPr="00FD2F93">
        <w:rPr>
          <w:sz w:val="24"/>
          <w:szCs w:val="24"/>
        </w:rPr>
        <w:t>Shingler</w:t>
      </w:r>
      <w:proofErr w:type="spellEnd"/>
      <w:r w:rsidRPr="00FD2F93">
        <w:rPr>
          <w:sz w:val="24"/>
          <w:szCs w:val="24"/>
        </w:rPr>
        <w:t xml:space="preserve"> Little </w:t>
      </w:r>
      <w:proofErr w:type="spellStart"/>
      <w:r w:rsidRPr="00FD2F93">
        <w:rPr>
          <w:sz w:val="24"/>
          <w:szCs w:val="24"/>
        </w:rPr>
        <w:t>River</w:t>
      </w:r>
      <w:proofErr w:type="spellEnd"/>
      <w:r w:rsidRPr="00FD2F93">
        <w:rPr>
          <w:sz w:val="24"/>
          <w:szCs w:val="24"/>
        </w:rPr>
        <w:t xml:space="preserve"> </w:t>
      </w:r>
      <w:proofErr w:type="spellStart"/>
      <w:r w:rsidRPr="00FD2F93">
        <w:rPr>
          <w:sz w:val="24"/>
          <w:szCs w:val="24"/>
        </w:rPr>
        <w:t>Rd</w:t>
      </w:r>
      <w:proofErr w:type="spellEnd"/>
      <w:r w:rsidRPr="00FD2F93">
        <w:rPr>
          <w:sz w:val="24"/>
          <w:szCs w:val="24"/>
        </w:rPr>
        <w:t>, Sumner, GA, USA 31789.</w:t>
      </w:r>
    </w:p>
    <w:p w14:paraId="01164577" w14:textId="77777777" w:rsidR="00FB3354" w:rsidRPr="00FD2F93" w:rsidRDefault="00FD2F93" w:rsidP="00FD2F93">
      <w:pPr>
        <w:spacing w:before="240" w:after="120" w:line="240" w:lineRule="auto"/>
        <w:rPr>
          <w:sz w:val="24"/>
          <w:szCs w:val="24"/>
          <w:lang w:val="en-US"/>
        </w:rPr>
      </w:pPr>
      <w:r w:rsidRPr="00FD2F93">
        <w:rPr>
          <w:sz w:val="24"/>
          <w:szCs w:val="24"/>
          <w:lang w:val="en-US"/>
        </w:rPr>
        <w:t>In this</w:t>
      </w:r>
      <w:r w:rsidRPr="00FD2F93">
        <w:rPr>
          <w:sz w:val="24"/>
          <w:szCs w:val="24"/>
          <w:lang w:val="en-US"/>
        </w:rPr>
        <w:t xml:space="preserve"> study, 223 </w:t>
      </w:r>
      <w:r w:rsidRPr="00FD2F93">
        <w:rPr>
          <w:i/>
          <w:iCs/>
          <w:sz w:val="24"/>
          <w:szCs w:val="24"/>
          <w:lang w:val="en-US"/>
        </w:rPr>
        <w:t>Arachis hypogaea</w:t>
      </w:r>
      <w:r w:rsidRPr="00FD2F93">
        <w:rPr>
          <w:sz w:val="24"/>
          <w:szCs w:val="24"/>
          <w:lang w:val="en-US"/>
        </w:rPr>
        <w:t xml:space="preserve"> lines were evaluated for resistance to peanut smut in field trials conducted during the 2024 and 2025 growing seasons. Two-row plots per genotype (5 m in length) were established in soils artificially infested with an average o</w:t>
      </w:r>
      <w:r w:rsidRPr="00FD2F93">
        <w:rPr>
          <w:sz w:val="24"/>
          <w:szCs w:val="24"/>
          <w:lang w:val="en-US"/>
        </w:rPr>
        <w:t xml:space="preserve">f 3,600 </w:t>
      </w:r>
      <w:r w:rsidRPr="00FD2F93">
        <w:rPr>
          <w:i/>
          <w:iCs/>
          <w:sz w:val="24"/>
          <w:szCs w:val="24"/>
          <w:lang w:val="en-US"/>
        </w:rPr>
        <w:t>Thecaphora frezii</w:t>
      </w:r>
      <w:r w:rsidRPr="00FD2F93">
        <w:rPr>
          <w:sz w:val="24"/>
          <w:szCs w:val="24"/>
          <w:lang w:val="en-US"/>
        </w:rPr>
        <w:t xml:space="preserve"> teliospores g</w:t>
      </w:r>
      <w:r w:rsidRPr="00FD2F93">
        <w:rPr>
          <w:rFonts w:ascii="Cambria Math" w:hAnsi="Cambria Math" w:cs="Cambria Math"/>
          <w:sz w:val="24"/>
          <w:szCs w:val="24"/>
          <w:lang w:val="en-US"/>
        </w:rPr>
        <w:t>⁻</w:t>
      </w:r>
      <w:r w:rsidRPr="00FD2F93">
        <w:rPr>
          <w:sz w:val="24"/>
          <w:szCs w:val="24"/>
          <w:lang w:val="en-US"/>
        </w:rPr>
        <w:t xml:space="preserve">¹ of soil, along with commercial field conditions, to compare genotype performance. Genotyping was performed using low-coverage sequencing at </w:t>
      </w:r>
      <w:proofErr w:type="spellStart"/>
      <w:r w:rsidRPr="00FD2F93">
        <w:rPr>
          <w:sz w:val="24"/>
          <w:szCs w:val="24"/>
          <w:lang w:val="en-US"/>
        </w:rPr>
        <w:t>HudsonAlpha</w:t>
      </w:r>
      <w:proofErr w:type="spellEnd"/>
      <w:r w:rsidRPr="00FD2F93">
        <w:rPr>
          <w:sz w:val="24"/>
          <w:szCs w:val="24"/>
          <w:lang w:val="en-US"/>
        </w:rPr>
        <w:t xml:space="preserve"> Institute for Biotechnology, followed by the Khufu pipeline SN</w:t>
      </w:r>
      <w:r w:rsidRPr="00FD2F93">
        <w:rPr>
          <w:sz w:val="24"/>
          <w:szCs w:val="24"/>
          <w:lang w:val="en-US"/>
        </w:rPr>
        <w:t xml:space="preserve">P detection platform. After quality filtering, genome-wide association analysis (GWAS) was conducted by integrating phenotypic and genotypic data. A total of 89 SNPs significantly associated with peanut smut resistance were identified. From these, 22 SNPs </w:t>
      </w:r>
      <w:r w:rsidRPr="00FD2F93">
        <w:rPr>
          <w:sz w:val="24"/>
          <w:szCs w:val="24"/>
          <w:lang w:val="en-US"/>
        </w:rPr>
        <w:t>were selected based on LOD score and discriminative performance. These markers were distributed across chromosomes A2, A4, A7, A9, B1, B4, B5, B7, B8, B9, and B10. Four sets of allele-specific primers were designed, of which two demonstrated high efficienc</w:t>
      </w:r>
      <w:r w:rsidRPr="00FD2F93">
        <w:rPr>
          <w:sz w:val="24"/>
          <w:szCs w:val="24"/>
          <w:lang w:val="en-US"/>
        </w:rPr>
        <w:t>y in distinguishing resistant and susceptible genotypes and were mapped to chromosomes B1 and B4, achieving 90% accuracy in classifying resistant and susceptible plants in an initial (preliminary) validation panel (n = 20). These results provide valuable m</w:t>
      </w:r>
      <w:r w:rsidRPr="00FD2F93">
        <w:rPr>
          <w:sz w:val="24"/>
          <w:szCs w:val="24"/>
          <w:lang w:val="en-US"/>
        </w:rPr>
        <w:t>olecular tools for marker-assisted selection and contribute to the development of peanut cultivars with improved resistance to smut disease, and further validation in larger and independent populations is currently underway.</w:t>
      </w:r>
    </w:p>
    <w:p w14:paraId="4E7388EC" w14:textId="77777777" w:rsidR="00FB3354" w:rsidRPr="00FD2F93" w:rsidRDefault="00FB3354" w:rsidP="00FD2F93">
      <w:pPr>
        <w:spacing w:before="240" w:after="120" w:line="240" w:lineRule="auto"/>
        <w:rPr>
          <w:b/>
          <w:bCs/>
          <w:sz w:val="24"/>
          <w:szCs w:val="24"/>
          <w:lang w:val="en-US"/>
        </w:rPr>
      </w:pPr>
    </w:p>
    <w:p w14:paraId="4158A365" w14:textId="77777777" w:rsidR="00FB3354" w:rsidRPr="00FD2F93" w:rsidRDefault="00FB3354" w:rsidP="00FD2F93">
      <w:pPr>
        <w:spacing w:after="120" w:line="240" w:lineRule="auto"/>
        <w:rPr>
          <w:sz w:val="24"/>
          <w:szCs w:val="24"/>
          <w:lang w:val="en-US"/>
        </w:rPr>
      </w:pPr>
    </w:p>
    <w:p w14:paraId="008140F2" w14:textId="77777777" w:rsidR="00FB3354" w:rsidRPr="00FD2F93" w:rsidRDefault="00FB3354" w:rsidP="00FD2F93">
      <w:pPr>
        <w:spacing w:after="120" w:line="240" w:lineRule="auto"/>
        <w:rPr>
          <w:b/>
          <w:bCs/>
          <w:lang w:val="en-US"/>
        </w:rPr>
      </w:pPr>
    </w:p>
    <w:p w14:paraId="79A542ED" w14:textId="77777777" w:rsidR="00FB3354" w:rsidRPr="00FD2F93" w:rsidRDefault="00FB3354" w:rsidP="00FD2F93">
      <w:pPr>
        <w:spacing w:after="120" w:line="240" w:lineRule="auto"/>
        <w:rPr>
          <w:lang w:val="en-US"/>
        </w:rPr>
      </w:pPr>
    </w:p>
    <w:p w14:paraId="54057516" w14:textId="77777777" w:rsidR="00FB3354" w:rsidRPr="00FD2F93" w:rsidRDefault="00FB3354" w:rsidP="00FD2F93">
      <w:pPr>
        <w:spacing w:after="120" w:line="240" w:lineRule="auto"/>
        <w:rPr>
          <w:lang w:val="en-US"/>
        </w:rPr>
      </w:pPr>
    </w:p>
    <w:p w14:paraId="70699D17" w14:textId="77777777" w:rsidR="00FB3354" w:rsidRPr="00FD2F93" w:rsidRDefault="00FD2F93" w:rsidP="00FD2F93">
      <w:pPr>
        <w:spacing w:after="120" w:line="240" w:lineRule="auto"/>
        <w:rPr>
          <w:color w:val="222222"/>
          <w:sz w:val="20"/>
          <w:szCs w:val="20"/>
          <w:highlight w:val="white"/>
          <w:lang w:val="en-US"/>
        </w:rPr>
      </w:pPr>
      <w:hyperlink r:id="rId5">
        <w:r w:rsidRPr="00FD2F93">
          <w:rPr>
            <w:color w:val="1155CC"/>
            <w:sz w:val="20"/>
            <w:szCs w:val="20"/>
            <w:highlight w:val="white"/>
            <w:u w:val="single"/>
            <w:lang w:val="en-US"/>
          </w:rPr>
          <w:t>https://apresinc.com/2026-apres-meeting/call-for-papers</w:t>
        </w:r>
      </w:hyperlink>
    </w:p>
    <w:p w14:paraId="1EBC5BDE" w14:textId="77777777" w:rsidR="00FB3354" w:rsidRPr="00FD2F93" w:rsidRDefault="00FB3354" w:rsidP="00FD2F93">
      <w:pPr>
        <w:spacing w:after="120" w:line="240" w:lineRule="auto"/>
        <w:rPr>
          <w:color w:val="222222"/>
          <w:sz w:val="20"/>
          <w:szCs w:val="20"/>
          <w:highlight w:val="white"/>
          <w:lang w:val="en-US"/>
        </w:rPr>
      </w:pPr>
    </w:p>
    <w:sectPr w:rsidR="00FB3354" w:rsidRPr="00FD2F93" w:rsidSect="00FD2F93">
      <w:pgSz w:w="12240" w:h="15840" w:code="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5D27F406-80E7-4306-903F-7B69DE87F143}"/>
    <w:embedBold r:id="rId2" w:fontKey="{B9BB7FE2-6345-4721-89C0-550EC764D526}"/>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3" w:fontKey="{8490F8A3-479B-471C-BBDA-12184313E279}"/>
  </w:font>
  <w:font w:name="Cambria">
    <w:panose1 w:val="02040503050406030204"/>
    <w:charset w:val="00"/>
    <w:family w:val="roman"/>
    <w:pitch w:val="variable"/>
    <w:sig w:usb0="E00006FF" w:usb1="420024FF" w:usb2="02000000" w:usb3="00000000" w:csb0="0000019F" w:csb1="00000000"/>
    <w:embedRegular r:id="rId4" w:fontKey="{43EFE9E6-36B4-4A82-BEFA-A8DEE54E202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354"/>
    <w:rsid w:val="00FB3354"/>
    <w:rsid w:val="00FD2F9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DA5C"/>
  <w15:docId w15:val="{601A6646-78CA-45EA-AF9C-7265FC3C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line="240" w:lineRule="auto"/>
      <w:ind w:left="720" w:hanging="360"/>
      <w:jc w:val="both"/>
      <w:outlineLvl w:val="1"/>
    </w:pPr>
    <w:rPr>
      <w:rFonts w:ascii="Calibri" w:eastAsia="Calibri" w:hAnsi="Calibri" w:cs="Calibri"/>
      <w:b/>
      <w:bCs/>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presinc.com/2026-apres-meeting/call-for-papers"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308</Words>
  <Characters>1697</Characters>
  <Application>Microsoft Office Word</Application>
  <DocSecurity>0</DocSecurity>
  <Lines>14</Lines>
  <Paragraphs>4</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marina bressano</cp:lastModifiedBy>
  <cp:revision>2</cp:revision>
  <dcterms:created xsi:type="dcterms:W3CDTF">2026-03-30T17:04:00Z</dcterms:created>
  <dcterms:modified xsi:type="dcterms:W3CDTF">2026-03-30T17:12:00Z</dcterms:modified>
</cp:coreProperties>
</file>