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6C04E1" w14:textId="03BC8902" w:rsidR="00D06597" w:rsidRPr="000741EE" w:rsidRDefault="00D06597" w:rsidP="00D06597">
      <w:pPr>
        <w:spacing w:line="240" w:lineRule="auto"/>
        <w:rPr>
          <w:rFonts w:ascii="Times New Roman" w:eastAsia="Times New Roman" w:hAnsi="Times New Roman" w:cs="Times New Roman"/>
          <w:color w:val="424242"/>
          <w:sz w:val="24"/>
          <w:szCs w:val="24"/>
        </w:rPr>
      </w:pPr>
      <w:r w:rsidRPr="000741EE">
        <w:rPr>
          <w:rFonts w:ascii="Times New Roman" w:eastAsia="Times New Roman" w:hAnsi="Times New Roman" w:cs="Times New Roman"/>
          <w:b/>
          <w:bCs/>
          <w:color w:val="424242"/>
          <w:sz w:val="24"/>
          <w:szCs w:val="24"/>
        </w:rPr>
        <w:t>Wild-derived Structural</w:t>
      </w:r>
      <w:r w:rsidRPr="000741EE">
        <w:rPr>
          <w:rFonts w:ascii="Times New Roman" w:eastAsia="Times New Roman" w:hAnsi="Times New Roman" w:cs="Times New Roman"/>
          <w:b/>
          <w:bCs/>
          <w:color w:val="424242"/>
          <w:sz w:val="24"/>
          <w:szCs w:val="24"/>
        </w:rPr>
        <w:noBreakHyphen/>
        <w:t>Variant Haplotypes Disrupting Auxin and Root</w:t>
      </w:r>
      <w:r w:rsidRPr="000741EE">
        <w:rPr>
          <w:rFonts w:ascii="Times New Roman" w:eastAsia="Times New Roman" w:hAnsi="Times New Roman" w:cs="Times New Roman"/>
          <w:b/>
          <w:bCs/>
          <w:color w:val="424242"/>
          <w:sz w:val="24"/>
          <w:szCs w:val="24"/>
        </w:rPr>
        <w:noBreakHyphen/>
        <w:t>Development Genes Confer Resistance to Root</w:t>
      </w:r>
      <w:r w:rsidRPr="000741EE">
        <w:rPr>
          <w:rFonts w:ascii="Times New Roman" w:eastAsia="Times New Roman" w:hAnsi="Times New Roman" w:cs="Times New Roman"/>
          <w:b/>
          <w:bCs/>
          <w:color w:val="424242"/>
          <w:sz w:val="24"/>
          <w:szCs w:val="24"/>
        </w:rPr>
        <w:noBreakHyphen/>
        <w:t>Knot Nematode in Peanut</w:t>
      </w:r>
    </w:p>
    <w:p w14:paraId="0920C303" w14:textId="30AB1811" w:rsidR="00C21919" w:rsidRPr="00F23A52" w:rsidRDefault="006C12F2" w:rsidP="00C21919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b/>
          <w:bCs/>
          <w:color w:val="0A0A0A"/>
        </w:rPr>
      </w:pPr>
      <w:r>
        <w:rPr>
          <w:rFonts w:ascii="Times New Roman" w:hAnsi="Times New Roman"/>
          <w:color w:val="000000"/>
        </w:rPr>
        <w:t>Wu, D.</w:t>
      </w:r>
      <w:r w:rsidR="00C21919" w:rsidRPr="00C74F66">
        <w:rPr>
          <w:rFonts w:ascii="Times New Roman" w:hAnsi="Times New Roman"/>
          <w:color w:val="000000"/>
          <w:vertAlign w:val="superscript"/>
          <w:lang w:eastAsia="zh-CN"/>
        </w:rPr>
        <w:t>1,2</w:t>
      </w:r>
      <w:r w:rsidR="00C21919" w:rsidRPr="00C74F66">
        <w:rPr>
          <w:rFonts w:ascii="Times New Roman" w:hAnsi="Times New Roman"/>
          <w:color w:val="000000"/>
        </w:rPr>
        <w:t>, Thompson</w:t>
      </w:r>
      <w:r w:rsidR="00C047C1">
        <w:rPr>
          <w:rFonts w:ascii="Times New Roman" w:hAnsi="Times New Roman"/>
          <w:color w:val="000000"/>
        </w:rPr>
        <w:t>, E.A.</w:t>
      </w:r>
      <w:r w:rsidR="00C21919" w:rsidRPr="00C74F66">
        <w:rPr>
          <w:rFonts w:ascii="Times New Roman" w:hAnsi="Times New Roman"/>
          <w:color w:val="000000"/>
          <w:vertAlign w:val="superscript"/>
          <w:lang w:eastAsia="zh-CN"/>
        </w:rPr>
        <w:t>1,2,3</w:t>
      </w:r>
      <w:r w:rsidR="00C21919" w:rsidRPr="00C74F66">
        <w:rPr>
          <w:rFonts w:ascii="Times New Roman" w:hAnsi="Times New Roman"/>
          <w:iCs/>
          <w:color w:val="000000"/>
        </w:rPr>
        <w:t xml:space="preserve">, </w:t>
      </w:r>
      <w:r w:rsidR="00C21919">
        <w:rPr>
          <w:rFonts w:ascii="Times New Roman" w:hAnsi="Times New Roman"/>
          <w:iCs/>
          <w:color w:val="000000"/>
        </w:rPr>
        <w:t>Paterson</w:t>
      </w:r>
      <w:r w:rsidR="00C047C1">
        <w:rPr>
          <w:rFonts w:ascii="Times New Roman" w:hAnsi="Times New Roman"/>
          <w:iCs/>
          <w:color w:val="000000"/>
        </w:rPr>
        <w:t>, W.</w:t>
      </w:r>
      <w:r w:rsidR="00C21919" w:rsidRPr="00CD0C94">
        <w:rPr>
          <w:rFonts w:ascii="Times New Roman" w:hAnsi="Times New Roman"/>
          <w:iCs/>
          <w:color w:val="000000"/>
          <w:vertAlign w:val="superscript"/>
        </w:rPr>
        <w:t>2</w:t>
      </w:r>
      <w:r w:rsidR="00C21919">
        <w:rPr>
          <w:rFonts w:ascii="Times New Roman" w:hAnsi="Times New Roman"/>
          <w:iCs/>
          <w:color w:val="000000"/>
        </w:rPr>
        <w:t xml:space="preserve">, </w:t>
      </w:r>
      <w:r w:rsidR="00C21919" w:rsidRPr="00C74F66">
        <w:rPr>
          <w:rFonts w:ascii="Times New Roman" w:hAnsi="Times New Roman"/>
          <w:iCs/>
          <w:color w:val="000000"/>
        </w:rPr>
        <w:t>Gangurde</w:t>
      </w:r>
      <w:r w:rsidR="00C60358">
        <w:rPr>
          <w:rFonts w:ascii="Times New Roman" w:hAnsi="Times New Roman"/>
          <w:iCs/>
          <w:color w:val="000000"/>
        </w:rPr>
        <w:t>, S.S.</w:t>
      </w:r>
      <w:r w:rsidR="00C21919" w:rsidRPr="00C74F66">
        <w:rPr>
          <w:rFonts w:ascii="Times New Roman" w:hAnsi="Times New Roman"/>
          <w:color w:val="000000"/>
          <w:vertAlign w:val="superscript"/>
          <w:lang w:eastAsia="zh-CN"/>
        </w:rPr>
        <w:t>1,2,4</w:t>
      </w:r>
      <w:r w:rsidR="00C21919" w:rsidRPr="00C74F66">
        <w:rPr>
          <w:rFonts w:ascii="Times New Roman" w:hAnsi="Times New Roman"/>
          <w:color w:val="000000"/>
        </w:rPr>
        <w:t>, Fountain</w:t>
      </w:r>
      <w:r w:rsidR="00C60358">
        <w:rPr>
          <w:rFonts w:ascii="Times New Roman" w:hAnsi="Times New Roman"/>
          <w:color w:val="000000"/>
        </w:rPr>
        <w:t>, J.C.</w:t>
      </w:r>
      <w:r w:rsidR="00C21919" w:rsidRPr="00C74F66">
        <w:rPr>
          <w:rFonts w:ascii="Times New Roman" w:hAnsi="Times New Roman"/>
          <w:color w:val="000000"/>
          <w:vertAlign w:val="superscript"/>
          <w:lang w:eastAsia="zh-CN"/>
        </w:rPr>
        <w:t>5</w:t>
      </w:r>
      <w:r w:rsidR="00C21919" w:rsidRPr="00C74F66">
        <w:rPr>
          <w:rFonts w:ascii="Times New Roman" w:hAnsi="Times New Roman"/>
          <w:color w:val="000000"/>
        </w:rPr>
        <w:t xml:space="preserve">, </w:t>
      </w:r>
      <w:r w:rsidR="00C21919">
        <w:rPr>
          <w:rFonts w:ascii="Times New Roman" w:hAnsi="Times New Roman"/>
          <w:color w:val="000000"/>
        </w:rPr>
        <w:t>Culbreath</w:t>
      </w:r>
      <w:r w:rsidR="00C60358">
        <w:rPr>
          <w:rFonts w:ascii="Times New Roman" w:hAnsi="Times New Roman"/>
          <w:color w:val="000000"/>
        </w:rPr>
        <w:t>, A.K.</w:t>
      </w:r>
      <w:r w:rsidR="00C21919" w:rsidRPr="00CD0C94">
        <w:rPr>
          <w:rFonts w:ascii="Times New Roman" w:hAnsi="Times New Roman"/>
          <w:iCs/>
          <w:color w:val="000000"/>
          <w:vertAlign w:val="superscript"/>
        </w:rPr>
        <w:t>2</w:t>
      </w:r>
      <w:r w:rsidR="00C21919">
        <w:rPr>
          <w:rFonts w:ascii="Times New Roman" w:hAnsi="Times New Roman"/>
          <w:color w:val="000000"/>
        </w:rPr>
        <w:t xml:space="preserve">, </w:t>
      </w:r>
      <w:r w:rsidR="00C21919" w:rsidRPr="00C74F66">
        <w:rPr>
          <w:rFonts w:ascii="Times New Roman" w:hAnsi="Times New Roman"/>
          <w:color w:val="000000"/>
          <w:lang w:eastAsia="zh-CN"/>
        </w:rPr>
        <w:t>Holbrook</w:t>
      </w:r>
      <w:r w:rsidR="00EA4129">
        <w:rPr>
          <w:rFonts w:ascii="Times New Roman" w:hAnsi="Times New Roman"/>
          <w:color w:val="000000"/>
          <w:lang w:eastAsia="zh-CN"/>
        </w:rPr>
        <w:t>, C.C.</w:t>
      </w:r>
      <w:r w:rsidR="00C21919" w:rsidRPr="00C74F66">
        <w:rPr>
          <w:rFonts w:ascii="Times New Roman" w:hAnsi="Times New Roman"/>
          <w:color w:val="000000"/>
          <w:vertAlign w:val="superscript"/>
          <w:lang w:eastAsia="zh-CN"/>
        </w:rPr>
        <w:t>1</w:t>
      </w:r>
      <w:r w:rsidR="00C21919" w:rsidRPr="00C74F66">
        <w:rPr>
          <w:rFonts w:ascii="Times New Roman" w:hAnsi="Times New Roman"/>
          <w:color w:val="000000"/>
          <w:lang w:eastAsia="zh-CN"/>
        </w:rPr>
        <w:t>,</w:t>
      </w:r>
      <w:r w:rsidR="00C21919" w:rsidRPr="00C74F66">
        <w:rPr>
          <w:rFonts w:ascii="Times New Roman" w:hAnsi="Times New Roman"/>
          <w:color w:val="000000" w:themeColor="text1"/>
        </w:rPr>
        <w:t xml:space="preserve"> </w:t>
      </w:r>
      <w:r w:rsidR="00C21919" w:rsidRPr="00C74F66">
        <w:rPr>
          <w:rFonts w:ascii="Times New Roman" w:hAnsi="Times New Roman"/>
          <w:color w:val="000000"/>
          <w:lang w:eastAsia="zh-CN"/>
        </w:rPr>
        <w:t>Clevenger</w:t>
      </w:r>
      <w:r w:rsidR="00EA4129">
        <w:rPr>
          <w:rFonts w:ascii="Times New Roman" w:hAnsi="Times New Roman"/>
          <w:color w:val="000000"/>
          <w:lang w:eastAsia="zh-CN"/>
        </w:rPr>
        <w:t>, J.P.</w:t>
      </w:r>
      <w:r w:rsidR="00C21919" w:rsidRPr="00C74F66">
        <w:rPr>
          <w:rFonts w:ascii="Times New Roman" w:hAnsi="Times New Roman"/>
          <w:color w:val="000000"/>
          <w:vertAlign w:val="superscript"/>
          <w:lang w:eastAsia="zh-CN"/>
        </w:rPr>
        <w:t>3</w:t>
      </w:r>
      <w:r w:rsidR="00C21919" w:rsidRPr="00C74F66">
        <w:rPr>
          <w:rFonts w:ascii="Times New Roman" w:hAnsi="Times New Roman"/>
          <w:color w:val="000000"/>
          <w:lang w:eastAsia="zh-CN"/>
        </w:rPr>
        <w:t xml:space="preserve">, </w:t>
      </w:r>
      <w:r w:rsidR="00C21919" w:rsidRPr="00D332CC">
        <w:rPr>
          <w:rFonts w:ascii="Times New Roman" w:hAnsi="Times New Roman"/>
          <w:b/>
          <w:bCs/>
          <w:color w:val="000000"/>
          <w:lang w:eastAsia="zh-CN"/>
        </w:rPr>
        <w:t>Guo</w:t>
      </w:r>
      <w:r w:rsidR="00EA4129" w:rsidRPr="00D332CC">
        <w:rPr>
          <w:rFonts w:ascii="Times New Roman" w:hAnsi="Times New Roman"/>
          <w:b/>
          <w:bCs/>
          <w:color w:val="000000"/>
          <w:lang w:eastAsia="zh-CN"/>
        </w:rPr>
        <w:t>, B.Z</w:t>
      </w:r>
      <w:r w:rsidR="00EA4129" w:rsidRPr="005378CB">
        <w:rPr>
          <w:rFonts w:ascii="Times New Roman" w:hAnsi="Times New Roman"/>
          <w:b/>
          <w:bCs/>
          <w:color w:val="000000"/>
          <w:lang w:eastAsia="zh-CN"/>
        </w:rPr>
        <w:t>.</w:t>
      </w:r>
      <w:r w:rsidR="00C21919" w:rsidRPr="00D332CC">
        <w:rPr>
          <w:rFonts w:ascii="Times New Roman" w:hAnsi="Times New Roman"/>
          <w:color w:val="000000"/>
          <w:vertAlign w:val="superscript"/>
          <w:lang w:eastAsia="zh-CN"/>
        </w:rPr>
        <w:t>1</w:t>
      </w:r>
    </w:p>
    <w:p w14:paraId="48E607D5" w14:textId="77777777" w:rsidR="00C21919" w:rsidRPr="00C74F66" w:rsidRDefault="00C21919" w:rsidP="00C21919">
      <w:pPr>
        <w:pStyle w:val="BCAuthorAddress"/>
        <w:adjustRightInd w:val="0"/>
        <w:snapToGrid w:val="0"/>
        <w:spacing w:after="0" w:line="240" w:lineRule="auto"/>
        <w:jc w:val="left"/>
        <w:rPr>
          <w:rFonts w:ascii="Times New Roman" w:hAnsi="Times New Roman"/>
          <w:szCs w:val="24"/>
          <w:vertAlign w:val="superscript"/>
          <w:lang w:eastAsia="zh-CN"/>
        </w:rPr>
      </w:pPr>
    </w:p>
    <w:p w14:paraId="28C5FE6D" w14:textId="2F9599C8" w:rsidR="00C21919" w:rsidRPr="006637A7" w:rsidRDefault="00C21919" w:rsidP="00AF153C">
      <w:pPr>
        <w:pStyle w:val="BCAuthorAddress"/>
        <w:adjustRightInd w:val="0"/>
        <w:snapToGrid w:val="0"/>
        <w:spacing w:after="0" w:line="240" w:lineRule="auto"/>
        <w:jc w:val="left"/>
        <w:rPr>
          <w:rFonts w:ascii="Times New Roman" w:hAnsi="Times New Roman"/>
        </w:rPr>
      </w:pPr>
      <w:r w:rsidRPr="00C74F66">
        <w:rPr>
          <w:rFonts w:ascii="Times New Roman" w:hAnsi="Times New Roman"/>
          <w:szCs w:val="24"/>
          <w:vertAlign w:val="superscript"/>
          <w:lang w:eastAsia="zh-CN"/>
        </w:rPr>
        <w:t>1</w:t>
      </w:r>
      <w:r w:rsidRPr="00C74F66">
        <w:rPr>
          <w:rFonts w:ascii="Times New Roman" w:eastAsia="Times New Roman" w:hAnsi="Times New Roman"/>
          <w:szCs w:val="24"/>
        </w:rPr>
        <w:t>USDA-ARS Crop Genetics and Breeding Research Unit, Tifton, GA, USA</w:t>
      </w:r>
      <w:r w:rsidR="006B6D42">
        <w:rPr>
          <w:rFonts w:ascii="Times New Roman" w:eastAsia="Times New Roman" w:hAnsi="Times New Roman"/>
          <w:szCs w:val="24"/>
        </w:rPr>
        <w:t>.</w:t>
      </w:r>
      <w:r w:rsidR="002800E5">
        <w:rPr>
          <w:rFonts w:ascii="Times New Roman" w:eastAsia="Times New Roman" w:hAnsi="Times New Roman"/>
          <w:szCs w:val="24"/>
        </w:rPr>
        <w:t xml:space="preserve"> </w:t>
      </w:r>
      <w:r w:rsidRPr="00C74F66">
        <w:rPr>
          <w:rFonts w:ascii="Times New Roman" w:hAnsi="Times New Roman"/>
          <w:color w:val="000000"/>
          <w:szCs w:val="24"/>
          <w:vertAlign w:val="superscript"/>
        </w:rPr>
        <w:t>2</w:t>
      </w:r>
      <w:r w:rsidRPr="00C74F66">
        <w:rPr>
          <w:rFonts w:ascii="Times New Roman" w:hAnsi="Times New Roman"/>
          <w:szCs w:val="24"/>
          <w:lang w:eastAsia="zh-CN"/>
        </w:rPr>
        <w:t>Department of Plant Pathology, University of Georgia, Tifton, GA, USA</w:t>
      </w:r>
      <w:r w:rsidR="002800E5">
        <w:rPr>
          <w:rFonts w:ascii="Times New Roman" w:hAnsi="Times New Roman"/>
          <w:szCs w:val="24"/>
          <w:lang w:eastAsia="zh-CN"/>
        </w:rPr>
        <w:t xml:space="preserve">. </w:t>
      </w:r>
      <w:r w:rsidRPr="00C74F66">
        <w:rPr>
          <w:rFonts w:ascii="Times New Roman" w:hAnsi="Times New Roman"/>
          <w:vertAlign w:val="superscript"/>
        </w:rPr>
        <w:t>3</w:t>
      </w:r>
      <w:bookmarkStart w:id="0" w:name="_Hlk174527651"/>
      <w:r w:rsidRPr="00C74F66">
        <w:rPr>
          <w:rFonts w:ascii="Times New Roman" w:hAnsi="Times New Roman"/>
        </w:rPr>
        <w:t>HudsonAlpha Institute for Biotechnology, Huntsville, AL, USA</w:t>
      </w:r>
      <w:bookmarkEnd w:id="0"/>
      <w:r w:rsidR="002800E5">
        <w:rPr>
          <w:rFonts w:ascii="Times New Roman" w:hAnsi="Times New Roman"/>
        </w:rPr>
        <w:t xml:space="preserve">. </w:t>
      </w:r>
      <w:r w:rsidRPr="00C74F66">
        <w:rPr>
          <w:rFonts w:ascii="Times New Roman" w:hAnsi="Times New Roman"/>
          <w:vertAlign w:val="superscript"/>
          <w:lang w:eastAsia="zh-CN"/>
        </w:rPr>
        <w:t>4</w:t>
      </w:r>
      <w:r>
        <w:rPr>
          <w:rFonts w:ascii="Times New Roman" w:hAnsi="Times New Roman"/>
          <w:color w:val="211D1E"/>
        </w:rPr>
        <w:t>International Maize and Wheat Improvement Center (CIMMYT), Texcoco, Mexico</w:t>
      </w:r>
      <w:r w:rsidR="00AF153C">
        <w:rPr>
          <w:rFonts w:ascii="Times New Roman" w:hAnsi="Times New Roman"/>
          <w:color w:val="211D1E"/>
        </w:rPr>
        <w:t xml:space="preserve">. </w:t>
      </w:r>
      <w:r w:rsidRPr="001F5AC9">
        <w:rPr>
          <w:rFonts w:ascii="Times New Roman" w:hAnsi="Times New Roman"/>
          <w:color w:val="211D1E"/>
          <w:vertAlign w:val="superscript"/>
        </w:rPr>
        <w:t>5</w:t>
      </w:r>
      <w:r>
        <w:rPr>
          <w:rFonts w:ascii="Times New Roman" w:hAnsi="Times New Roman"/>
          <w:color w:val="211D1E"/>
        </w:rPr>
        <w:t>D</w:t>
      </w:r>
      <w:r w:rsidRPr="00C74F66">
        <w:rPr>
          <w:rFonts w:ascii="Times New Roman" w:hAnsi="Times New Roman"/>
          <w:lang w:eastAsia="zh-CN"/>
        </w:rPr>
        <w:t>epartment of Plant Pathology, University of Georgia, Griffin, GA, USA</w:t>
      </w:r>
      <w:r w:rsidR="00AF153C">
        <w:rPr>
          <w:rFonts w:ascii="Times New Roman" w:hAnsi="Times New Roman"/>
          <w:lang w:eastAsia="zh-CN"/>
        </w:rPr>
        <w:t>.</w:t>
      </w:r>
    </w:p>
    <w:p w14:paraId="316612AF" w14:textId="77777777" w:rsidR="00B1400B" w:rsidRPr="000741EE" w:rsidRDefault="00B1400B" w:rsidP="00B1400B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43BA1B1F" w14:textId="281CF98C" w:rsidR="00037B61" w:rsidRPr="00D25789" w:rsidRDefault="00B8760C" w:rsidP="00677EFC">
      <w:pPr>
        <w:pStyle w:val="NormalWeb"/>
        <w:spacing w:before="0" w:beforeAutospacing="0" w:after="0" w:afterAutospacing="0"/>
        <w:rPr>
          <w:rFonts w:eastAsiaTheme="majorEastAsia"/>
        </w:rPr>
      </w:pPr>
      <w:r w:rsidRPr="000741EE">
        <w:t>Root</w:t>
      </w:r>
      <w:r w:rsidRPr="000741EE">
        <w:noBreakHyphen/>
        <w:t>knot nematode (RKN</w:t>
      </w:r>
      <w:r w:rsidR="0013525B">
        <w:t xml:space="preserve">, </w:t>
      </w:r>
      <w:r w:rsidRPr="000741EE">
        <w:rPr>
          <w:i/>
          <w:iCs/>
        </w:rPr>
        <w:t>Meloidogyne arenaria</w:t>
      </w:r>
      <w:r w:rsidR="0013525B">
        <w:t>)</w:t>
      </w:r>
      <w:r w:rsidRPr="000741EE">
        <w:t xml:space="preserve"> </w:t>
      </w:r>
      <w:r w:rsidR="004239F0" w:rsidRPr="000741EE">
        <w:t xml:space="preserve">remains a </w:t>
      </w:r>
      <w:r w:rsidR="00E15FAD" w:rsidRPr="000741EE">
        <w:t>major</w:t>
      </w:r>
      <w:r w:rsidR="004239F0" w:rsidRPr="000741EE">
        <w:t xml:space="preserve"> limitation to peanut production</w:t>
      </w:r>
      <w:r w:rsidRPr="000741EE">
        <w:t xml:space="preserve"> worldwide. More than three decades ago, Dr. Charles Simpson </w:t>
      </w:r>
      <w:proofErr w:type="spellStart"/>
      <w:r w:rsidRPr="000741EE">
        <w:t>introgressed</w:t>
      </w:r>
      <w:proofErr w:type="spellEnd"/>
      <w:r w:rsidRPr="000741EE">
        <w:t xml:space="preserve"> RKN resistance from the wild </w:t>
      </w:r>
      <w:r w:rsidRPr="000741EE">
        <w:rPr>
          <w:i/>
          <w:iCs/>
        </w:rPr>
        <w:t xml:space="preserve">Arachis </w:t>
      </w:r>
      <w:proofErr w:type="spellStart"/>
      <w:r w:rsidRPr="000741EE">
        <w:rPr>
          <w:i/>
          <w:iCs/>
        </w:rPr>
        <w:t>cardenasii</w:t>
      </w:r>
      <w:proofErr w:type="spellEnd"/>
      <w:r w:rsidRPr="000741EE">
        <w:t xml:space="preserve"> into cultivated </w:t>
      </w:r>
      <w:proofErr w:type="gramStart"/>
      <w:r w:rsidRPr="000741EE">
        <w:t>peanut</w:t>
      </w:r>
      <w:proofErr w:type="gramEnd"/>
      <w:r w:rsidR="00401510">
        <w:rPr>
          <w:rStyle w:val="Strong"/>
          <w:b w:val="0"/>
          <w:bCs w:val="0"/>
        </w:rPr>
        <w:t xml:space="preserve">. </w:t>
      </w:r>
      <w:r w:rsidR="0013525B">
        <w:rPr>
          <w:rStyle w:val="Strong"/>
          <w:b w:val="0"/>
          <w:bCs w:val="0"/>
        </w:rPr>
        <w:t>T</w:t>
      </w:r>
      <w:r w:rsidR="0013525B" w:rsidRPr="000741EE">
        <w:rPr>
          <w:rStyle w:val="Strong"/>
          <w:b w:val="0"/>
          <w:bCs w:val="0"/>
        </w:rPr>
        <w:t>h</w:t>
      </w:r>
      <w:r w:rsidR="0013525B">
        <w:rPr>
          <w:rStyle w:val="Strong"/>
          <w:b w:val="0"/>
          <w:bCs w:val="0"/>
        </w:rPr>
        <w:t>is</w:t>
      </w:r>
      <w:r w:rsidR="0013525B" w:rsidRPr="000741EE">
        <w:rPr>
          <w:rStyle w:val="Strong"/>
          <w:b w:val="0"/>
          <w:bCs w:val="0"/>
        </w:rPr>
        <w:t xml:space="preserve"> </w:t>
      </w:r>
      <w:r w:rsidR="00F768D9">
        <w:rPr>
          <w:rStyle w:val="Strong"/>
          <w:b w:val="0"/>
          <w:bCs w:val="0"/>
        </w:rPr>
        <w:t xml:space="preserve">near-immunity </w:t>
      </w:r>
      <w:r w:rsidRPr="000741EE">
        <w:rPr>
          <w:rStyle w:val="Strong"/>
          <w:b w:val="0"/>
          <w:bCs w:val="0"/>
        </w:rPr>
        <w:t>resistance</w:t>
      </w:r>
      <w:r w:rsidRPr="000741EE">
        <w:rPr>
          <w:rStyle w:val="Strong"/>
          <w:rFonts w:eastAsiaTheme="majorEastAsia"/>
          <w:b w:val="0"/>
          <w:bCs w:val="0"/>
        </w:rPr>
        <w:t xml:space="preserve"> </w:t>
      </w:r>
      <w:r w:rsidR="00F768D9">
        <w:rPr>
          <w:rStyle w:val="Strong"/>
          <w:rFonts w:eastAsiaTheme="majorEastAsia"/>
          <w:b w:val="0"/>
          <w:bCs w:val="0"/>
        </w:rPr>
        <w:t>was</w:t>
      </w:r>
      <w:r w:rsidRPr="000741EE">
        <w:rPr>
          <w:rStyle w:val="Strong"/>
          <w:rFonts w:eastAsiaTheme="majorEastAsia"/>
          <w:b w:val="0"/>
          <w:bCs w:val="0"/>
        </w:rPr>
        <w:t xml:space="preserve"> used in al</w:t>
      </w:r>
      <w:r w:rsidRPr="000741EE">
        <w:rPr>
          <w:rStyle w:val="Strong"/>
          <w:b w:val="0"/>
          <w:bCs w:val="0"/>
        </w:rPr>
        <w:t>l RKN</w:t>
      </w:r>
      <w:r w:rsidRPr="000741EE">
        <w:rPr>
          <w:rStyle w:val="Strong"/>
          <w:b w:val="0"/>
          <w:bCs w:val="0"/>
        </w:rPr>
        <w:noBreakHyphen/>
        <w:t>resistant commercial cultivars grown today.</w:t>
      </w:r>
      <w:r w:rsidRPr="000741EE">
        <w:rPr>
          <w:rStyle w:val="Strong"/>
          <w:rFonts w:eastAsiaTheme="majorEastAsia"/>
          <w:b w:val="0"/>
          <w:bCs w:val="0"/>
        </w:rPr>
        <w:t xml:space="preserve"> </w:t>
      </w:r>
      <w:r w:rsidR="009D07D8">
        <w:rPr>
          <w:rStyle w:val="Strong"/>
          <w:rFonts w:eastAsiaTheme="majorEastAsia"/>
          <w:b w:val="0"/>
          <w:bCs w:val="0"/>
        </w:rPr>
        <w:t>However</w:t>
      </w:r>
      <w:r w:rsidRPr="000741EE">
        <w:rPr>
          <w:rStyle w:val="Strong"/>
          <w:b w:val="0"/>
          <w:bCs w:val="0"/>
        </w:rPr>
        <w:t xml:space="preserve">, </w:t>
      </w:r>
      <w:r w:rsidRPr="000741EE">
        <w:rPr>
          <w:rStyle w:val="Strong"/>
          <w:rFonts w:eastAsiaTheme="majorEastAsia"/>
          <w:b w:val="0"/>
          <w:bCs w:val="0"/>
        </w:rPr>
        <w:t>identifying</w:t>
      </w:r>
      <w:r w:rsidRPr="000741EE">
        <w:rPr>
          <w:rStyle w:val="Strong"/>
          <w:b w:val="0"/>
          <w:bCs w:val="0"/>
        </w:rPr>
        <w:t xml:space="preserve"> the </w:t>
      </w:r>
      <w:r w:rsidR="00902405">
        <w:rPr>
          <w:rStyle w:val="Strong"/>
          <w:b w:val="0"/>
          <w:bCs w:val="0"/>
        </w:rPr>
        <w:t xml:space="preserve">mechanisms </w:t>
      </w:r>
      <w:r w:rsidRPr="000741EE">
        <w:rPr>
          <w:rStyle w:val="Strong"/>
          <w:b w:val="0"/>
          <w:bCs w:val="0"/>
        </w:rPr>
        <w:t xml:space="preserve">underlying </w:t>
      </w:r>
      <w:r w:rsidR="00902405">
        <w:rPr>
          <w:rStyle w:val="Strong"/>
          <w:b w:val="0"/>
          <w:bCs w:val="0"/>
        </w:rPr>
        <w:t>this resistance</w:t>
      </w:r>
      <w:r w:rsidRPr="000741EE">
        <w:rPr>
          <w:rStyle w:val="Strong"/>
          <w:b w:val="0"/>
          <w:bCs w:val="0"/>
        </w:rPr>
        <w:t xml:space="preserve"> has been challenging</w:t>
      </w:r>
      <w:r w:rsidRPr="000741EE">
        <w:t xml:space="preserve"> due to suppressed recombination and structural complexity within the introgressed segment. </w:t>
      </w:r>
      <w:r w:rsidR="00C12327">
        <w:t>Here</w:t>
      </w:r>
      <w:r w:rsidRPr="000741EE">
        <w:t xml:space="preserve">, we dissect the genetic structural basis of RKN-resistance in the </w:t>
      </w:r>
      <w:proofErr w:type="spellStart"/>
      <w:r w:rsidRPr="000741EE">
        <w:t>PeanutMAGIC</w:t>
      </w:r>
      <w:proofErr w:type="spellEnd"/>
      <w:r w:rsidRPr="000741EE">
        <w:t xml:space="preserve"> population by integrating pangenome-based genome-wide association mapping, short-read haplotype analysis, long-read sequencing, and pangenome-graph visualization. </w:t>
      </w:r>
      <w:r w:rsidRPr="000741EE">
        <w:rPr>
          <w:rStyle w:val="Strong"/>
          <w:rFonts w:eastAsiaTheme="majorEastAsia"/>
          <w:b w:val="0"/>
          <w:bCs w:val="0"/>
        </w:rPr>
        <w:t xml:space="preserve">We evaluated </w:t>
      </w:r>
      <w:r w:rsidR="00BC14FF">
        <w:rPr>
          <w:rStyle w:val="Strong"/>
          <w:rFonts w:eastAsiaTheme="majorEastAsia"/>
          <w:b w:val="0"/>
          <w:bCs w:val="0"/>
        </w:rPr>
        <w:t xml:space="preserve">RKN resistance in </w:t>
      </w:r>
      <w:r w:rsidRPr="000741EE">
        <w:rPr>
          <w:rStyle w:val="Strong"/>
          <w:rFonts w:eastAsiaTheme="majorEastAsia"/>
          <w:b w:val="0"/>
          <w:bCs w:val="0"/>
        </w:rPr>
        <w:t xml:space="preserve">310 </w:t>
      </w:r>
      <w:r w:rsidR="00C12327" w:rsidRPr="000741EE">
        <w:rPr>
          <w:rStyle w:val="Strong"/>
          <w:rFonts w:eastAsiaTheme="majorEastAsia"/>
          <w:b w:val="0"/>
          <w:bCs w:val="0"/>
        </w:rPr>
        <w:t xml:space="preserve">MAGIC Core </w:t>
      </w:r>
      <w:r w:rsidR="00BE737C" w:rsidRPr="000741EE">
        <w:rPr>
          <w:rStyle w:val="Strong"/>
          <w:rFonts w:eastAsiaTheme="majorEastAsia"/>
          <w:b w:val="0"/>
          <w:bCs w:val="0"/>
        </w:rPr>
        <w:t>lines</w:t>
      </w:r>
      <w:r w:rsidRPr="000741EE">
        <w:rPr>
          <w:rStyle w:val="Strong"/>
          <w:rFonts w:eastAsiaTheme="majorEastAsia"/>
          <w:b w:val="0"/>
          <w:bCs w:val="0"/>
        </w:rPr>
        <w:t xml:space="preserve"> </w:t>
      </w:r>
      <w:r w:rsidR="00B105B4">
        <w:rPr>
          <w:rStyle w:val="Strong"/>
          <w:rFonts w:eastAsiaTheme="majorEastAsia"/>
          <w:b w:val="0"/>
          <w:bCs w:val="0"/>
        </w:rPr>
        <w:t>and</w:t>
      </w:r>
      <w:r w:rsidRPr="000741EE">
        <w:rPr>
          <w:rStyle w:val="Strong"/>
          <w:rFonts w:eastAsiaTheme="majorEastAsia"/>
          <w:b w:val="0"/>
          <w:bCs w:val="0"/>
        </w:rPr>
        <w:t xml:space="preserve"> eight parents in </w:t>
      </w:r>
      <w:r w:rsidR="00401510">
        <w:rPr>
          <w:rStyle w:val="Strong"/>
          <w:rFonts w:eastAsiaTheme="majorEastAsia"/>
          <w:b w:val="0"/>
          <w:bCs w:val="0"/>
        </w:rPr>
        <w:t xml:space="preserve">two </w:t>
      </w:r>
      <w:r w:rsidRPr="000741EE">
        <w:rPr>
          <w:rStyle w:val="Strong"/>
          <w:rFonts w:eastAsiaTheme="majorEastAsia"/>
          <w:b w:val="0"/>
          <w:bCs w:val="0"/>
        </w:rPr>
        <w:t>greenhouse</w:t>
      </w:r>
      <w:r w:rsidR="00F34126" w:rsidRPr="000741EE">
        <w:rPr>
          <w:rStyle w:val="Strong"/>
          <w:rFonts w:eastAsiaTheme="majorEastAsia"/>
          <w:b w:val="0"/>
          <w:bCs w:val="0"/>
        </w:rPr>
        <w:t xml:space="preserve"> assay</w:t>
      </w:r>
      <w:r w:rsidR="00401510">
        <w:rPr>
          <w:rStyle w:val="Strong"/>
          <w:rFonts w:eastAsiaTheme="majorEastAsia"/>
          <w:b w:val="0"/>
          <w:bCs w:val="0"/>
        </w:rPr>
        <w:t>s</w:t>
      </w:r>
      <w:r w:rsidR="003A1A2F">
        <w:rPr>
          <w:rStyle w:val="Strong"/>
          <w:rFonts w:eastAsiaTheme="majorEastAsia"/>
          <w:b w:val="0"/>
          <w:bCs w:val="0"/>
        </w:rPr>
        <w:t xml:space="preserve"> </w:t>
      </w:r>
      <w:r w:rsidRPr="000741EE">
        <w:rPr>
          <w:rStyle w:val="Strong"/>
          <w:rFonts w:eastAsiaTheme="majorEastAsia"/>
          <w:b w:val="0"/>
          <w:bCs w:val="0"/>
        </w:rPr>
        <w:t xml:space="preserve">and conducted whole genome sequencing for pangenome-based genotyping. </w:t>
      </w:r>
      <w:r w:rsidR="005876FA">
        <w:rPr>
          <w:rStyle w:val="Strong"/>
          <w:rFonts w:eastAsiaTheme="majorEastAsia"/>
          <w:b w:val="0"/>
          <w:bCs w:val="0"/>
        </w:rPr>
        <w:t>G</w:t>
      </w:r>
      <w:r w:rsidRPr="000741EE">
        <w:rPr>
          <w:rStyle w:val="Strong"/>
          <w:rFonts w:eastAsiaTheme="majorEastAsia"/>
          <w:b w:val="0"/>
          <w:bCs w:val="0"/>
        </w:rPr>
        <w:t xml:space="preserve">enome-wide association mapping identified a single resistance locus on chromosome A09. </w:t>
      </w:r>
      <w:r w:rsidR="003A1A2F">
        <w:rPr>
          <w:rStyle w:val="Strong"/>
          <w:rFonts w:eastAsiaTheme="majorEastAsia"/>
          <w:b w:val="0"/>
          <w:bCs w:val="0"/>
        </w:rPr>
        <w:t>S</w:t>
      </w:r>
      <w:r w:rsidRPr="000741EE">
        <w:t xml:space="preserve">hort-read haplotype </w:t>
      </w:r>
      <w:r w:rsidR="00401510">
        <w:t>analysis identified a</w:t>
      </w:r>
      <w:r w:rsidR="001B198F">
        <w:t>n aligned</w:t>
      </w:r>
      <w:r w:rsidRPr="000741EE">
        <w:t xml:space="preserve"> 1.6-Mb </w:t>
      </w:r>
      <w:r w:rsidR="00401510">
        <w:t>locus</w:t>
      </w:r>
      <w:r w:rsidR="003D74D2">
        <w:t xml:space="preserve"> showing</w:t>
      </w:r>
      <w:r w:rsidRPr="000741EE">
        <w:t xml:space="preserve"> limited recombination within the resistance-associated haplotype. Long-read fine mapping resolved this into discrete, parent-specific structural variants</w:t>
      </w:r>
      <w:r w:rsidR="00D25789">
        <w:t xml:space="preserve"> (SVs)</w:t>
      </w:r>
      <w:r w:rsidRPr="000741EE">
        <w:t xml:space="preserve">, identifying eight </w:t>
      </w:r>
      <w:r w:rsidR="005876FA">
        <w:t>Tift-NV</w:t>
      </w:r>
      <w:r w:rsidRPr="000741EE">
        <w:t xml:space="preserve">-specific </w:t>
      </w:r>
      <w:r w:rsidR="003B4C16" w:rsidRPr="000741EE">
        <w:t>regions</w:t>
      </w:r>
      <w:r w:rsidR="005876FA">
        <w:t xml:space="preserve"> (</w:t>
      </w:r>
      <w:r w:rsidRPr="000741EE">
        <w:t>R1 to R8</w:t>
      </w:r>
      <w:r w:rsidR="005876FA">
        <w:t>)</w:t>
      </w:r>
      <w:r w:rsidRPr="000741EE">
        <w:t xml:space="preserve"> and ten T</w:t>
      </w:r>
      <w:r w:rsidR="005876FA">
        <w:t>ifrunner</w:t>
      </w:r>
      <w:r w:rsidRPr="000741EE">
        <w:t>-specific regions</w:t>
      </w:r>
      <w:r w:rsidR="005876FA">
        <w:t xml:space="preserve"> (</w:t>
      </w:r>
      <w:r w:rsidRPr="000741EE">
        <w:t>S1 to S10</w:t>
      </w:r>
      <w:r w:rsidR="005876FA">
        <w:t>)</w:t>
      </w:r>
      <w:r w:rsidRPr="000741EE">
        <w:t xml:space="preserve">, defined by presence–absence variation. </w:t>
      </w:r>
      <w:r w:rsidR="006C322C">
        <w:t>T</w:t>
      </w:r>
      <w:r w:rsidRPr="000741EE">
        <w:t>h</w:t>
      </w:r>
      <w:r w:rsidR="004F510B">
        <w:t>ere are th</w:t>
      </w:r>
      <w:r w:rsidRPr="000741EE">
        <w:t>ree gene families likely responsible for the durable RKN resistance</w:t>
      </w:r>
      <w:r w:rsidR="006D1CFC">
        <w:t>,</w:t>
      </w:r>
      <w:r w:rsidRPr="000741EE">
        <w:t xml:space="preserve"> IAA</w:t>
      </w:r>
      <w:r w:rsidR="00401510">
        <w:t>-</w:t>
      </w:r>
      <w:r w:rsidRPr="000741EE">
        <w:t>3</w:t>
      </w:r>
      <w:r w:rsidR="00401510">
        <w:t>-</w:t>
      </w:r>
      <w:r w:rsidRPr="000741EE">
        <w:t xml:space="preserve">amino acid hydrolases </w:t>
      </w:r>
      <w:r w:rsidR="006D1CFC">
        <w:t xml:space="preserve">located in </w:t>
      </w:r>
      <w:r w:rsidRPr="000741EE">
        <w:t>R1 and S1, F</w:t>
      </w:r>
      <w:r w:rsidRPr="000741EE">
        <w:noBreakHyphen/>
        <w:t xml:space="preserve">box/RNI-like </w:t>
      </w:r>
      <w:r w:rsidR="00411D13">
        <w:t>superfamily proteins</w:t>
      </w:r>
      <w:r w:rsidRPr="000741EE">
        <w:t xml:space="preserve"> </w:t>
      </w:r>
      <w:r w:rsidR="006D1CFC">
        <w:t xml:space="preserve">in </w:t>
      </w:r>
      <w:r w:rsidRPr="000741EE">
        <w:t xml:space="preserve">R3, and </w:t>
      </w:r>
      <w:r w:rsidR="00BC5418">
        <w:t xml:space="preserve">protein </w:t>
      </w:r>
      <w:r w:rsidRPr="000741EE">
        <w:t>Root Hair Defective 3</w:t>
      </w:r>
      <w:r w:rsidR="007945E2">
        <w:t xml:space="preserve"> </w:t>
      </w:r>
      <w:r w:rsidR="006D1CFC">
        <w:t xml:space="preserve">in </w:t>
      </w:r>
      <w:r w:rsidRPr="000741EE">
        <w:t xml:space="preserve">S7. The resistant haplotype contains extensive </w:t>
      </w:r>
      <w:r w:rsidR="00D25789">
        <w:t>SVs</w:t>
      </w:r>
      <w:r w:rsidRPr="000741EE">
        <w:t xml:space="preserve"> that disrupt many or all these genes, whereas susceptible lines maintain intact versions. </w:t>
      </w:r>
      <w:r w:rsidR="00632B56" w:rsidRPr="000741EE">
        <w:t>T</w:t>
      </w:r>
      <w:r w:rsidRPr="000741EE">
        <w:t xml:space="preserve">hese genes are </w:t>
      </w:r>
      <w:r w:rsidR="007636F8">
        <w:t>related to</w:t>
      </w:r>
      <w:r w:rsidR="00F234BB" w:rsidRPr="000741EE">
        <w:t xml:space="preserve"> giant cell</w:t>
      </w:r>
      <w:r w:rsidRPr="000741EE">
        <w:t xml:space="preserve"> formation, </w:t>
      </w:r>
      <w:r w:rsidR="00594F4D">
        <w:t xml:space="preserve">which are </w:t>
      </w:r>
      <w:r w:rsidR="00003521">
        <w:t>the specialized feeding sites of RKN</w:t>
      </w:r>
      <w:r w:rsidR="00D94D0F">
        <w:t>. T</w:t>
      </w:r>
      <w:r w:rsidRPr="000741EE">
        <w:t>he disruption</w:t>
      </w:r>
      <w:r w:rsidR="00003521">
        <w:t xml:space="preserve"> of these genes</w:t>
      </w:r>
      <w:r w:rsidRPr="000741EE">
        <w:t xml:space="preserve"> </w:t>
      </w:r>
      <w:r w:rsidR="0032154D" w:rsidRPr="000741EE">
        <w:t xml:space="preserve">suggests </w:t>
      </w:r>
      <w:r w:rsidR="00003521">
        <w:t xml:space="preserve">that the </w:t>
      </w:r>
      <w:r w:rsidR="0032154D" w:rsidRPr="000741EE">
        <w:t xml:space="preserve">resistance </w:t>
      </w:r>
      <w:r w:rsidR="00B23C89">
        <w:t xml:space="preserve">is </w:t>
      </w:r>
      <w:r w:rsidR="0032154D" w:rsidRPr="000741EE">
        <w:t xml:space="preserve">based on loss of </w:t>
      </w:r>
      <w:r w:rsidR="00363AD3" w:rsidRPr="000741EE">
        <w:t>susceptibility</w:t>
      </w:r>
      <w:r w:rsidR="00003521">
        <w:t xml:space="preserve">, </w:t>
      </w:r>
      <w:r w:rsidR="00003521" w:rsidRPr="000741EE">
        <w:t xml:space="preserve">potentially through coordinated suppression of auxin signaling and root endomembrane remodeling required </w:t>
      </w:r>
      <w:r w:rsidR="00003521" w:rsidRPr="00037B61">
        <w:t>for giant cell formation</w:t>
      </w:r>
      <w:r w:rsidR="00D25789">
        <w:t>, which</w:t>
      </w:r>
      <w:r w:rsidR="00B23C89">
        <w:t xml:space="preserve"> warrants further investigation.</w:t>
      </w:r>
    </w:p>
    <w:sectPr w:rsidR="00037B61" w:rsidRPr="00D25789">
      <w:headerReference w:type="default" r:id="rId6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F3BEC2" w14:textId="77777777" w:rsidR="00E950C4" w:rsidRDefault="00E950C4" w:rsidP="005531F2">
      <w:pPr>
        <w:spacing w:line="240" w:lineRule="auto"/>
      </w:pPr>
      <w:r>
        <w:separator/>
      </w:r>
    </w:p>
  </w:endnote>
  <w:endnote w:type="continuationSeparator" w:id="0">
    <w:p w14:paraId="31CBC416" w14:textId="77777777" w:rsidR="00E950C4" w:rsidRDefault="00E950C4" w:rsidP="005531F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730A5B" w14:textId="77777777" w:rsidR="00E950C4" w:rsidRDefault="00E950C4" w:rsidP="005531F2">
      <w:pPr>
        <w:spacing w:line="240" w:lineRule="auto"/>
      </w:pPr>
      <w:r>
        <w:separator/>
      </w:r>
    </w:p>
  </w:footnote>
  <w:footnote w:type="continuationSeparator" w:id="0">
    <w:p w14:paraId="15BD8852" w14:textId="77777777" w:rsidR="00E950C4" w:rsidRDefault="00E950C4" w:rsidP="005531F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31FCB9" w14:textId="1B70C948" w:rsidR="005531F2" w:rsidRDefault="00A56888">
    <w:pPr>
      <w:pStyle w:val="Header"/>
    </w:pPr>
    <w:bookmarkStart w:id="1" w:name="_Hlk130992686"/>
    <w:bookmarkStart w:id="2" w:name="_Hlk130992687"/>
    <w:r>
      <w:rPr>
        <w:sz w:val="20"/>
      </w:rPr>
      <w:t>Charles Simpson Wild Species Session</w:t>
    </w:r>
    <w:r w:rsidR="005531F2" w:rsidRPr="000A5EED">
      <w:rPr>
        <w:sz w:val="20"/>
      </w:rPr>
      <w:t xml:space="preserve">, American Peanut </w:t>
    </w:r>
    <w:r w:rsidR="005531F2">
      <w:rPr>
        <w:sz w:val="20"/>
      </w:rPr>
      <w:t>Research</w:t>
    </w:r>
    <w:r w:rsidR="005531F2" w:rsidRPr="000A5EED">
      <w:rPr>
        <w:sz w:val="20"/>
      </w:rPr>
      <w:t xml:space="preserve"> and </w:t>
    </w:r>
    <w:r w:rsidR="005531F2">
      <w:rPr>
        <w:sz w:val="20"/>
      </w:rPr>
      <w:t>Education</w:t>
    </w:r>
    <w:r w:rsidR="005531F2" w:rsidRPr="000A5EED">
      <w:rPr>
        <w:sz w:val="20"/>
      </w:rPr>
      <w:t xml:space="preserve"> Society (APRES) Annual Meeting, </w:t>
    </w:r>
    <w:r w:rsidR="002A5E51">
      <w:rPr>
        <w:sz w:val="20"/>
      </w:rPr>
      <w:t>San Juan</w:t>
    </w:r>
    <w:r w:rsidR="00F673B9">
      <w:rPr>
        <w:sz w:val="20"/>
      </w:rPr>
      <w:t xml:space="preserve">, </w:t>
    </w:r>
    <w:r w:rsidR="002A5E51">
      <w:rPr>
        <w:sz w:val="20"/>
      </w:rPr>
      <w:t>Puerto Rico</w:t>
    </w:r>
    <w:r w:rsidR="005531F2" w:rsidRPr="000A5EED">
      <w:rPr>
        <w:sz w:val="20"/>
      </w:rPr>
      <w:t xml:space="preserve">, July </w:t>
    </w:r>
    <w:r w:rsidR="00AE6B84">
      <w:rPr>
        <w:sz w:val="20"/>
      </w:rPr>
      <w:t>14</w:t>
    </w:r>
    <w:r w:rsidR="005531F2">
      <w:rPr>
        <w:sz w:val="20"/>
      </w:rPr>
      <w:t>-</w:t>
    </w:r>
    <w:r w:rsidR="00AE6B84">
      <w:rPr>
        <w:sz w:val="20"/>
      </w:rPr>
      <w:t>16</w:t>
    </w:r>
    <w:r w:rsidR="005531F2" w:rsidRPr="000A5EED">
      <w:rPr>
        <w:sz w:val="20"/>
      </w:rPr>
      <w:t xml:space="preserve">, </w:t>
    </w:r>
    <w:r w:rsidR="005531F2">
      <w:rPr>
        <w:sz w:val="20"/>
      </w:rPr>
      <w:t>202</w:t>
    </w:r>
    <w:bookmarkEnd w:id="1"/>
    <w:bookmarkEnd w:id="2"/>
    <w:r w:rsidR="00AE6B84">
      <w:rPr>
        <w:sz w:val="20"/>
      </w:rPr>
      <w:t>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46E5"/>
    <w:rsid w:val="00003521"/>
    <w:rsid w:val="00022291"/>
    <w:rsid w:val="00023292"/>
    <w:rsid w:val="00037B61"/>
    <w:rsid w:val="000512CF"/>
    <w:rsid w:val="000560E2"/>
    <w:rsid w:val="0007059C"/>
    <w:rsid w:val="000741EE"/>
    <w:rsid w:val="00086772"/>
    <w:rsid w:val="000A203B"/>
    <w:rsid w:val="000B2C05"/>
    <w:rsid w:val="000C0A05"/>
    <w:rsid w:val="000D5218"/>
    <w:rsid w:val="001115A0"/>
    <w:rsid w:val="001205EA"/>
    <w:rsid w:val="0013525B"/>
    <w:rsid w:val="001806F3"/>
    <w:rsid w:val="00184C98"/>
    <w:rsid w:val="001B198F"/>
    <w:rsid w:val="001B46E5"/>
    <w:rsid w:val="002075A8"/>
    <w:rsid w:val="002261DD"/>
    <w:rsid w:val="002461AC"/>
    <w:rsid w:val="002638A8"/>
    <w:rsid w:val="002800E5"/>
    <w:rsid w:val="002869D4"/>
    <w:rsid w:val="002A5E51"/>
    <w:rsid w:val="00315A24"/>
    <w:rsid w:val="0032154D"/>
    <w:rsid w:val="00327B5E"/>
    <w:rsid w:val="00363AD3"/>
    <w:rsid w:val="00363D0E"/>
    <w:rsid w:val="00364CE1"/>
    <w:rsid w:val="003826DE"/>
    <w:rsid w:val="003A1A2F"/>
    <w:rsid w:val="003B4C16"/>
    <w:rsid w:val="003C27A9"/>
    <w:rsid w:val="003D74D2"/>
    <w:rsid w:val="003E3251"/>
    <w:rsid w:val="00401510"/>
    <w:rsid w:val="00411D13"/>
    <w:rsid w:val="0041394E"/>
    <w:rsid w:val="00417C81"/>
    <w:rsid w:val="00422C9C"/>
    <w:rsid w:val="004239F0"/>
    <w:rsid w:val="00447E68"/>
    <w:rsid w:val="004C01AE"/>
    <w:rsid w:val="004D7A83"/>
    <w:rsid w:val="004F510B"/>
    <w:rsid w:val="0051667B"/>
    <w:rsid w:val="00531285"/>
    <w:rsid w:val="005378CB"/>
    <w:rsid w:val="00546A23"/>
    <w:rsid w:val="005531F2"/>
    <w:rsid w:val="00570781"/>
    <w:rsid w:val="00573BC3"/>
    <w:rsid w:val="005876FA"/>
    <w:rsid w:val="00591B18"/>
    <w:rsid w:val="00594F4D"/>
    <w:rsid w:val="00595B6B"/>
    <w:rsid w:val="0062654D"/>
    <w:rsid w:val="00632B56"/>
    <w:rsid w:val="00641864"/>
    <w:rsid w:val="00677EFC"/>
    <w:rsid w:val="006865E2"/>
    <w:rsid w:val="006B6D42"/>
    <w:rsid w:val="006B703A"/>
    <w:rsid w:val="006C12F2"/>
    <w:rsid w:val="006C322C"/>
    <w:rsid w:val="006D1CFC"/>
    <w:rsid w:val="006F3056"/>
    <w:rsid w:val="00704B4E"/>
    <w:rsid w:val="007406BF"/>
    <w:rsid w:val="00747824"/>
    <w:rsid w:val="007636F8"/>
    <w:rsid w:val="0076753A"/>
    <w:rsid w:val="00785237"/>
    <w:rsid w:val="0079358A"/>
    <w:rsid w:val="007945E2"/>
    <w:rsid w:val="007A5661"/>
    <w:rsid w:val="00813365"/>
    <w:rsid w:val="00826B0B"/>
    <w:rsid w:val="0084455F"/>
    <w:rsid w:val="008633CE"/>
    <w:rsid w:val="008C29D7"/>
    <w:rsid w:val="008E2503"/>
    <w:rsid w:val="00902405"/>
    <w:rsid w:val="00941567"/>
    <w:rsid w:val="009504FA"/>
    <w:rsid w:val="00981227"/>
    <w:rsid w:val="009A2CAA"/>
    <w:rsid w:val="009D07D8"/>
    <w:rsid w:val="00A13951"/>
    <w:rsid w:val="00A24A2B"/>
    <w:rsid w:val="00A46A6E"/>
    <w:rsid w:val="00A54AA6"/>
    <w:rsid w:val="00A56888"/>
    <w:rsid w:val="00A60A2C"/>
    <w:rsid w:val="00A948BD"/>
    <w:rsid w:val="00A978DB"/>
    <w:rsid w:val="00AE32A9"/>
    <w:rsid w:val="00AE6B84"/>
    <w:rsid w:val="00AF153C"/>
    <w:rsid w:val="00B07646"/>
    <w:rsid w:val="00B105B4"/>
    <w:rsid w:val="00B1400B"/>
    <w:rsid w:val="00B2147C"/>
    <w:rsid w:val="00B23C89"/>
    <w:rsid w:val="00B24672"/>
    <w:rsid w:val="00B8760C"/>
    <w:rsid w:val="00BA48CB"/>
    <w:rsid w:val="00BC14FF"/>
    <w:rsid w:val="00BC154A"/>
    <w:rsid w:val="00BC49AE"/>
    <w:rsid w:val="00BC5418"/>
    <w:rsid w:val="00BE737C"/>
    <w:rsid w:val="00C047C1"/>
    <w:rsid w:val="00C12327"/>
    <w:rsid w:val="00C21919"/>
    <w:rsid w:val="00C273BC"/>
    <w:rsid w:val="00C37286"/>
    <w:rsid w:val="00C60358"/>
    <w:rsid w:val="00C6233C"/>
    <w:rsid w:val="00C862ED"/>
    <w:rsid w:val="00CB14AD"/>
    <w:rsid w:val="00CB2FB0"/>
    <w:rsid w:val="00CC214A"/>
    <w:rsid w:val="00CE27FD"/>
    <w:rsid w:val="00CE6D57"/>
    <w:rsid w:val="00D06597"/>
    <w:rsid w:val="00D06A09"/>
    <w:rsid w:val="00D25789"/>
    <w:rsid w:val="00D332CC"/>
    <w:rsid w:val="00D36DC7"/>
    <w:rsid w:val="00D526FF"/>
    <w:rsid w:val="00D94D0F"/>
    <w:rsid w:val="00DC28D5"/>
    <w:rsid w:val="00E15FAD"/>
    <w:rsid w:val="00E46A01"/>
    <w:rsid w:val="00E51BA6"/>
    <w:rsid w:val="00E8408B"/>
    <w:rsid w:val="00E950C4"/>
    <w:rsid w:val="00EA4129"/>
    <w:rsid w:val="00EB588E"/>
    <w:rsid w:val="00ED21F1"/>
    <w:rsid w:val="00F007AF"/>
    <w:rsid w:val="00F02DF3"/>
    <w:rsid w:val="00F234BB"/>
    <w:rsid w:val="00F34126"/>
    <w:rsid w:val="00F432C6"/>
    <w:rsid w:val="00F50955"/>
    <w:rsid w:val="00F61250"/>
    <w:rsid w:val="00F64E2A"/>
    <w:rsid w:val="00F673B9"/>
    <w:rsid w:val="00F768D9"/>
    <w:rsid w:val="00F9193D"/>
    <w:rsid w:val="00F952ED"/>
    <w:rsid w:val="00FB0875"/>
    <w:rsid w:val="00FC4E4D"/>
    <w:rsid w:val="00FE6A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4BB425"/>
  <w15:docId w15:val="{099A3E13-2CC2-4105-A87F-DD0AD7BCCA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BodyTextIndent">
    <w:name w:val="Body Text Indent"/>
    <w:basedOn w:val="Normal"/>
    <w:link w:val="BodyTextIndentChar"/>
    <w:rsid w:val="006B703A"/>
    <w:pPr>
      <w:spacing w:line="240" w:lineRule="auto"/>
      <w:ind w:left="1440"/>
      <w:jc w:val="both"/>
    </w:pPr>
    <w:rPr>
      <w:rFonts w:ascii="Tahoma" w:eastAsia="Times New Roman" w:hAnsi="Tahoma" w:cs="Times New Roman"/>
      <w:color w:val="800080"/>
      <w:sz w:val="24"/>
      <w:szCs w:val="20"/>
      <w:lang w:val="en-US"/>
    </w:rPr>
  </w:style>
  <w:style w:type="character" w:customStyle="1" w:styleId="BodyTextIndentChar">
    <w:name w:val="Body Text Indent Char"/>
    <w:basedOn w:val="DefaultParagraphFont"/>
    <w:link w:val="BodyTextIndent"/>
    <w:rsid w:val="006B703A"/>
    <w:rPr>
      <w:rFonts w:ascii="Tahoma" w:eastAsia="Times New Roman" w:hAnsi="Tahoma" w:cs="Times New Roman"/>
      <w:color w:val="800080"/>
      <w:sz w:val="24"/>
      <w:szCs w:val="20"/>
      <w:lang w:val="en-US"/>
    </w:rPr>
  </w:style>
  <w:style w:type="paragraph" w:styleId="ListParagraph">
    <w:name w:val="List Paragraph"/>
    <w:basedOn w:val="Normal"/>
    <w:link w:val="ListParagraphChar"/>
    <w:uiPriority w:val="34"/>
    <w:qFormat/>
    <w:rsid w:val="006B703A"/>
    <w:pPr>
      <w:spacing w:line="240" w:lineRule="auto"/>
      <w:ind w:left="720"/>
      <w:contextualSpacing/>
      <w:jc w:val="both"/>
    </w:pPr>
    <w:rPr>
      <w:rFonts w:ascii="Tahoma" w:eastAsia="Times New Roman" w:hAnsi="Tahoma" w:cs="Times New Roman"/>
      <w:color w:val="800080"/>
      <w:sz w:val="24"/>
      <w:szCs w:val="20"/>
      <w:lang w:val="en-US"/>
    </w:rPr>
  </w:style>
  <w:style w:type="character" w:customStyle="1" w:styleId="ListParagraphChar">
    <w:name w:val="List Paragraph Char"/>
    <w:link w:val="ListParagraph"/>
    <w:uiPriority w:val="34"/>
    <w:rsid w:val="006B703A"/>
    <w:rPr>
      <w:rFonts w:ascii="Tahoma" w:eastAsia="Times New Roman" w:hAnsi="Tahoma" w:cs="Times New Roman"/>
      <w:color w:val="800080"/>
      <w:sz w:val="24"/>
      <w:szCs w:val="20"/>
      <w:lang w:val="en-US"/>
    </w:rPr>
  </w:style>
  <w:style w:type="paragraph" w:styleId="Revision">
    <w:name w:val="Revision"/>
    <w:hidden/>
    <w:uiPriority w:val="99"/>
    <w:semiHidden/>
    <w:rsid w:val="006B703A"/>
    <w:pPr>
      <w:spacing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5531F2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531F2"/>
  </w:style>
  <w:style w:type="paragraph" w:styleId="Footer">
    <w:name w:val="footer"/>
    <w:basedOn w:val="Normal"/>
    <w:link w:val="FooterChar"/>
    <w:uiPriority w:val="99"/>
    <w:unhideWhenUsed/>
    <w:rsid w:val="005531F2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531F2"/>
  </w:style>
  <w:style w:type="paragraph" w:styleId="NormalWeb">
    <w:name w:val="Normal (Web)"/>
    <w:basedOn w:val="Normal"/>
    <w:uiPriority w:val="99"/>
    <w:unhideWhenUsed/>
    <w:rsid w:val="00B876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B8760C"/>
    <w:rPr>
      <w:b/>
      <w:bCs/>
    </w:rPr>
  </w:style>
  <w:style w:type="character" w:styleId="Emphasis">
    <w:name w:val="Emphasis"/>
    <w:basedOn w:val="DefaultParagraphFont"/>
    <w:uiPriority w:val="20"/>
    <w:qFormat/>
    <w:rsid w:val="002075A8"/>
    <w:rPr>
      <w:i/>
      <w:iCs/>
    </w:rPr>
  </w:style>
  <w:style w:type="paragraph" w:customStyle="1" w:styleId="BCAuthorAddress">
    <w:name w:val="BC_Author_Address"/>
    <w:basedOn w:val="Normal"/>
    <w:next w:val="Normal"/>
    <w:qFormat/>
    <w:rsid w:val="00C21919"/>
    <w:pPr>
      <w:spacing w:after="240" w:line="480" w:lineRule="auto"/>
      <w:jc w:val="center"/>
    </w:pPr>
    <w:rPr>
      <w:rFonts w:ascii="Times" w:eastAsia="SimSun" w:hAnsi="Times" w:cs="Times New Roman"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Metadata/LabelInfo.xml><?xml version="1.0" encoding="utf-8"?>
<clbl:labelList xmlns:clbl="http://schemas.microsoft.com/office/2020/mipLabelMetadata">
  <clbl:label id="{ed5b36e7-01ee-4ebc-867e-e03cfa0d4697}" enabled="0" method="" siteId="{ed5b36e7-01ee-4ebc-867e-e03cfa0d4697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357</Words>
  <Characters>2381</Characters>
  <Application>Microsoft Office Word</Application>
  <DocSecurity>0</DocSecurity>
  <Lines>34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Guo, Baozhu - REE-ARS</dc:creator>
  <cp:lastModifiedBy>Guo, Baozhu - REE-ARS</cp:lastModifiedBy>
  <cp:revision>28</cp:revision>
  <dcterms:created xsi:type="dcterms:W3CDTF">2026-03-12T20:52:00Z</dcterms:created>
  <dcterms:modified xsi:type="dcterms:W3CDTF">2026-03-18T15:52:00Z</dcterms:modified>
</cp:coreProperties>
</file>