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9C381" w14:textId="77777777" w:rsidR="002060F8" w:rsidRDefault="00730E3C" w:rsidP="00B60DDB">
      <w:pPr>
        <w:spacing w:line="240" w:lineRule="auto"/>
        <w:jc w:val="both"/>
        <w:rPr>
          <w:rFonts w:eastAsia="Aptos" w:cs="Times New Roman"/>
          <w:b/>
          <w:bCs/>
        </w:rPr>
      </w:pPr>
      <w:r w:rsidRPr="00B60DDB">
        <w:rPr>
          <w:rFonts w:eastAsia="Aptos" w:cs="Times New Roman"/>
          <w:b/>
          <w:bCs/>
        </w:rPr>
        <w:t xml:space="preserve">Effects of Planting Date, Genotype, </w:t>
      </w:r>
      <w:r w:rsidR="00F03CDF" w:rsidRPr="00B60DDB">
        <w:rPr>
          <w:rFonts w:eastAsia="Aptos" w:cs="Times New Roman"/>
          <w:b/>
          <w:bCs/>
        </w:rPr>
        <w:t xml:space="preserve">Plant </w:t>
      </w:r>
      <w:r w:rsidRPr="00B60DDB">
        <w:rPr>
          <w:rFonts w:eastAsia="Aptos" w:cs="Times New Roman"/>
          <w:b/>
          <w:bCs/>
        </w:rPr>
        <w:t>Density</w:t>
      </w:r>
      <w:r w:rsidR="008C4BEF" w:rsidRPr="00B60DDB">
        <w:rPr>
          <w:rFonts w:eastAsia="Aptos" w:cs="Times New Roman"/>
          <w:b/>
          <w:bCs/>
        </w:rPr>
        <w:t xml:space="preserve"> </w:t>
      </w:r>
      <w:r w:rsidR="00C92EEC" w:rsidRPr="00B60DDB">
        <w:rPr>
          <w:rFonts w:eastAsia="Aptos" w:cs="Times New Roman"/>
          <w:b/>
          <w:bCs/>
        </w:rPr>
        <w:t xml:space="preserve">and Growth Regulator </w:t>
      </w:r>
      <w:r w:rsidRPr="00B60DDB">
        <w:rPr>
          <w:rFonts w:eastAsia="Aptos" w:cs="Times New Roman"/>
          <w:b/>
          <w:bCs/>
        </w:rPr>
        <w:t>on Late Leaf Spot Severity in Peanut (</w:t>
      </w:r>
      <w:r w:rsidRPr="00B60DDB">
        <w:rPr>
          <w:rFonts w:eastAsia="Aptos" w:cs="Times New Roman"/>
          <w:b/>
          <w:bCs/>
          <w:i/>
          <w:iCs/>
        </w:rPr>
        <w:t>Arachis hypogaea</w:t>
      </w:r>
      <w:r w:rsidRPr="00B60DDB">
        <w:rPr>
          <w:rFonts w:eastAsia="Aptos" w:cs="Times New Roman"/>
          <w:b/>
          <w:bCs/>
        </w:rPr>
        <w:t xml:space="preserve"> L.)</w:t>
      </w:r>
    </w:p>
    <w:p w14:paraId="04E0A180" w14:textId="121F8F5A" w:rsidR="00730E3C" w:rsidRPr="00B60DDB" w:rsidRDefault="00730E3C" w:rsidP="000A7A91">
      <w:pPr>
        <w:spacing w:after="0" w:line="240" w:lineRule="auto"/>
        <w:rPr>
          <w:rFonts w:eastAsia="Aptos" w:cs="Times New Roman"/>
          <w:b/>
          <w:bCs/>
        </w:rPr>
      </w:pPr>
      <w:r w:rsidRPr="00B60DDB">
        <w:rPr>
          <w:rFonts w:eastAsia="Aptos" w:cs="Times New Roman"/>
          <w:b/>
          <w:bCs/>
        </w:rPr>
        <w:t>Oduor,</w:t>
      </w:r>
      <w:r w:rsidR="00EE5C72">
        <w:rPr>
          <w:rFonts w:eastAsia="Aptos" w:cs="Times New Roman"/>
          <w:b/>
          <w:bCs/>
        </w:rPr>
        <w:t xml:space="preserve"> J.O</w:t>
      </w:r>
      <w:r w:rsidR="00E54033">
        <w:rPr>
          <w:rFonts w:eastAsia="Aptos" w:cs="Times New Roman"/>
          <w:b/>
          <w:bCs/>
        </w:rPr>
        <w:t>.</w:t>
      </w:r>
      <w:r w:rsidRPr="00B60DDB">
        <w:rPr>
          <w:rFonts w:eastAsia="Aptos" w:cs="Times New Roman"/>
          <w:b/>
          <w:bCs/>
        </w:rPr>
        <w:t xml:space="preserve"> </w:t>
      </w:r>
      <w:r w:rsidRPr="00977831">
        <w:rPr>
          <w:rFonts w:eastAsia="Aptos" w:cs="Times New Roman"/>
        </w:rPr>
        <w:t>Tillman</w:t>
      </w:r>
      <w:r w:rsidR="00621FAB" w:rsidRPr="00977831">
        <w:rPr>
          <w:rFonts w:eastAsia="Aptos" w:cs="Times New Roman"/>
        </w:rPr>
        <w:t>,</w:t>
      </w:r>
      <w:r w:rsidR="00E54033" w:rsidRPr="00977831">
        <w:rPr>
          <w:rFonts w:eastAsia="Aptos" w:cs="Times New Roman"/>
        </w:rPr>
        <w:t xml:space="preserve"> B.L.</w:t>
      </w:r>
      <w:r w:rsidRPr="00977831">
        <w:rPr>
          <w:rFonts w:eastAsia="Aptos" w:cs="Times New Roman"/>
        </w:rPr>
        <w:t xml:space="preserve">  Goyzueta</w:t>
      </w:r>
      <w:r w:rsidR="00621FAB" w:rsidRPr="00977831">
        <w:rPr>
          <w:rFonts w:eastAsia="Aptos" w:cs="Times New Roman"/>
        </w:rPr>
        <w:t>,</w:t>
      </w:r>
      <w:r w:rsidR="002741A5" w:rsidRPr="00977831">
        <w:rPr>
          <w:rFonts w:eastAsia="Aptos" w:cs="Times New Roman"/>
        </w:rPr>
        <w:t xml:space="preserve"> </w:t>
      </w:r>
      <w:r w:rsidR="005E1AA6" w:rsidRPr="00977831">
        <w:rPr>
          <w:rFonts w:eastAsia="Aptos" w:cs="Times New Roman"/>
        </w:rPr>
        <w:t>M.D.</w:t>
      </w:r>
      <w:r w:rsidRPr="00977831">
        <w:rPr>
          <w:rFonts w:eastAsia="Aptos" w:cs="Times New Roman"/>
        </w:rPr>
        <w:t xml:space="preserve"> Gomillion</w:t>
      </w:r>
      <w:r w:rsidR="00621FAB" w:rsidRPr="00977831">
        <w:rPr>
          <w:rFonts w:eastAsia="Aptos" w:cs="Times New Roman"/>
        </w:rPr>
        <w:t xml:space="preserve">, M.W. </w:t>
      </w:r>
      <w:r w:rsidRPr="00977831">
        <w:rPr>
          <w:rFonts w:eastAsia="Aptos" w:cs="Times New Roman"/>
        </w:rPr>
        <w:t xml:space="preserve"> Toruno, </w:t>
      </w:r>
      <w:r w:rsidR="00621FAB" w:rsidRPr="00977831">
        <w:rPr>
          <w:rFonts w:eastAsia="Aptos" w:cs="Times New Roman"/>
        </w:rPr>
        <w:t xml:space="preserve">C.E. </w:t>
      </w:r>
      <w:r w:rsidRPr="00977831">
        <w:rPr>
          <w:rFonts w:eastAsia="Aptos" w:cs="Times New Roman"/>
        </w:rPr>
        <w:t>Castro</w:t>
      </w:r>
      <w:r w:rsidR="00621FAB" w:rsidRPr="00977831">
        <w:rPr>
          <w:rFonts w:eastAsia="Aptos" w:cs="Times New Roman"/>
        </w:rPr>
        <w:t>, S.C.</w:t>
      </w:r>
      <w:r w:rsidR="00621FAB" w:rsidRPr="00B60DDB">
        <w:rPr>
          <w:rFonts w:eastAsia="Aptos" w:cs="Times New Roman"/>
          <w:b/>
          <w:bCs/>
        </w:rPr>
        <w:t xml:space="preserve"> </w:t>
      </w:r>
    </w:p>
    <w:p w14:paraId="7A461B8D" w14:textId="7B89F44B" w:rsidR="00730E3C" w:rsidRPr="001E0ABD" w:rsidRDefault="0015103B" w:rsidP="000A7A91">
      <w:pPr>
        <w:spacing w:after="0" w:line="240" w:lineRule="auto"/>
        <w:jc w:val="both"/>
        <w:rPr>
          <w:rFonts w:eastAsia="Aptos" w:cs="Times New Roman"/>
        </w:rPr>
      </w:pPr>
      <w:r>
        <w:rPr>
          <w:rFonts w:eastAsia="Aptos" w:cs="Times New Roman"/>
        </w:rPr>
        <w:t>Department</w:t>
      </w:r>
      <w:r w:rsidRPr="0015103B">
        <w:rPr>
          <w:rFonts w:eastAsia="Aptos" w:cs="Times New Roman"/>
        </w:rPr>
        <w:t xml:space="preserve"> of Agronomy</w:t>
      </w:r>
      <w:r>
        <w:rPr>
          <w:rFonts w:eastAsia="Aptos" w:cs="Times New Roman"/>
        </w:rPr>
        <w:t>,</w:t>
      </w:r>
      <w:r w:rsidRPr="0015103B">
        <w:rPr>
          <w:rFonts w:eastAsia="Aptos" w:cs="Times New Roman"/>
        </w:rPr>
        <w:t xml:space="preserve"> </w:t>
      </w:r>
      <w:r w:rsidR="00730E3C" w:rsidRPr="001E0ABD">
        <w:rPr>
          <w:rFonts w:eastAsia="Aptos" w:cs="Times New Roman"/>
        </w:rPr>
        <w:t>University of Florida, N</w:t>
      </w:r>
      <w:r w:rsidR="00470129">
        <w:rPr>
          <w:rFonts w:eastAsia="Aptos" w:cs="Times New Roman"/>
        </w:rPr>
        <w:t>orth</w:t>
      </w:r>
      <w:r w:rsidR="00187D4E">
        <w:rPr>
          <w:rFonts w:eastAsia="Aptos" w:cs="Times New Roman"/>
        </w:rPr>
        <w:t xml:space="preserve"> </w:t>
      </w:r>
      <w:r w:rsidR="00730E3C" w:rsidRPr="001E0ABD">
        <w:rPr>
          <w:rFonts w:eastAsia="Aptos" w:cs="Times New Roman"/>
        </w:rPr>
        <w:t>F</w:t>
      </w:r>
      <w:r w:rsidR="00187D4E">
        <w:rPr>
          <w:rFonts w:eastAsia="Aptos" w:cs="Times New Roman"/>
        </w:rPr>
        <w:t xml:space="preserve">lorida </w:t>
      </w:r>
      <w:r w:rsidR="00730E3C" w:rsidRPr="001E0ABD">
        <w:rPr>
          <w:rFonts w:eastAsia="Aptos" w:cs="Times New Roman"/>
        </w:rPr>
        <w:t>R</w:t>
      </w:r>
      <w:r w:rsidR="00187D4E">
        <w:rPr>
          <w:rFonts w:eastAsia="Aptos" w:cs="Times New Roman"/>
        </w:rPr>
        <w:t xml:space="preserve">esearch and Education </w:t>
      </w:r>
      <w:r w:rsidR="00730E3C" w:rsidRPr="001E0ABD">
        <w:rPr>
          <w:rFonts w:eastAsia="Aptos" w:cs="Times New Roman"/>
        </w:rPr>
        <w:t>C</w:t>
      </w:r>
      <w:r w:rsidR="00187D4E">
        <w:rPr>
          <w:rFonts w:eastAsia="Aptos" w:cs="Times New Roman"/>
        </w:rPr>
        <w:t xml:space="preserve">entre, </w:t>
      </w:r>
      <w:r w:rsidR="00730E3C" w:rsidRPr="001E0ABD">
        <w:rPr>
          <w:rFonts w:eastAsia="Aptos" w:cs="Times New Roman"/>
        </w:rPr>
        <w:t>Marianna</w:t>
      </w:r>
      <w:r w:rsidR="00FC0CE7">
        <w:rPr>
          <w:rFonts w:eastAsia="Aptos" w:cs="Times New Roman"/>
        </w:rPr>
        <w:t xml:space="preserve">, FL. </w:t>
      </w:r>
    </w:p>
    <w:p w14:paraId="789528F9" w14:textId="77777777" w:rsidR="00346D92" w:rsidRDefault="00730E3C" w:rsidP="000A7A91">
      <w:pPr>
        <w:spacing w:before="240" w:after="0" w:line="240" w:lineRule="auto"/>
        <w:rPr>
          <w:rFonts w:eastAsia="Aptos" w:cs="Times New Roman"/>
        </w:rPr>
      </w:pPr>
      <w:r w:rsidRPr="005B66CB">
        <w:rPr>
          <w:rFonts w:eastAsia="Aptos" w:cs="Times New Roman"/>
        </w:rPr>
        <w:t>Planting date</w:t>
      </w:r>
      <w:r w:rsidR="00EA2B2F" w:rsidRPr="005B66CB">
        <w:rPr>
          <w:rFonts w:eastAsia="Aptos" w:cs="Times New Roman"/>
        </w:rPr>
        <w:t>,</w:t>
      </w:r>
      <w:r w:rsidRPr="005B66CB">
        <w:rPr>
          <w:rFonts w:eastAsia="Aptos" w:cs="Times New Roman"/>
        </w:rPr>
        <w:t xml:space="preserve"> </w:t>
      </w:r>
      <w:r w:rsidR="001F3961" w:rsidRPr="005B66CB">
        <w:rPr>
          <w:rFonts w:eastAsia="Aptos" w:cs="Times New Roman"/>
        </w:rPr>
        <w:t>host resistance</w:t>
      </w:r>
      <w:r w:rsidR="00EA2B2F" w:rsidRPr="005B66CB">
        <w:rPr>
          <w:rFonts w:eastAsia="Aptos" w:cs="Times New Roman"/>
        </w:rPr>
        <w:t>,</w:t>
      </w:r>
      <w:r w:rsidR="001F3961" w:rsidRPr="005B66CB">
        <w:rPr>
          <w:rFonts w:eastAsia="Aptos" w:cs="Times New Roman"/>
        </w:rPr>
        <w:t xml:space="preserve"> and canopy</w:t>
      </w:r>
      <w:r w:rsidR="002B3F69" w:rsidRPr="005B66CB">
        <w:rPr>
          <w:rFonts w:eastAsia="Aptos" w:cs="Times New Roman"/>
        </w:rPr>
        <w:t xml:space="preserve"> structure</w:t>
      </w:r>
      <w:r w:rsidR="001F3961" w:rsidRPr="005B66CB">
        <w:rPr>
          <w:rFonts w:eastAsia="Aptos" w:cs="Times New Roman"/>
        </w:rPr>
        <w:t xml:space="preserve"> </w:t>
      </w:r>
      <w:r w:rsidR="005A06BE" w:rsidRPr="005B66CB">
        <w:rPr>
          <w:rFonts w:eastAsia="Aptos" w:cs="Times New Roman"/>
        </w:rPr>
        <w:t xml:space="preserve">shapes </w:t>
      </w:r>
      <w:r w:rsidRPr="005B66CB">
        <w:rPr>
          <w:rFonts w:eastAsia="Aptos" w:cs="Times New Roman"/>
        </w:rPr>
        <w:t xml:space="preserve">disease environment in peanut by altering exposure to favorable conditions for </w:t>
      </w:r>
      <w:r w:rsidR="004601A4" w:rsidRPr="005B66CB">
        <w:rPr>
          <w:rFonts w:eastAsia="Aptos" w:cs="Times New Roman"/>
        </w:rPr>
        <w:t>l</w:t>
      </w:r>
      <w:r w:rsidRPr="005B66CB">
        <w:rPr>
          <w:rFonts w:eastAsia="Aptos" w:cs="Times New Roman"/>
        </w:rPr>
        <w:t>ate leaf spot (LLS) (</w:t>
      </w:r>
      <w:r w:rsidRPr="005B66CB">
        <w:rPr>
          <w:rFonts w:eastAsia="Aptos" w:cs="Times New Roman"/>
          <w:i/>
          <w:iCs/>
        </w:rPr>
        <w:t>Nothopassalora personata</w:t>
      </w:r>
      <w:r w:rsidRPr="005B66CB">
        <w:rPr>
          <w:rFonts w:eastAsia="Aptos" w:cs="Times New Roman"/>
        </w:rPr>
        <w:t xml:space="preserve">). This study </w:t>
      </w:r>
      <w:r w:rsidR="00DA38E5" w:rsidRPr="005B66CB">
        <w:rPr>
          <w:rFonts w:eastAsia="Aptos" w:cs="Times New Roman"/>
        </w:rPr>
        <w:t>evaluated</w:t>
      </w:r>
      <w:r w:rsidRPr="005B66CB">
        <w:rPr>
          <w:rFonts w:eastAsia="Aptos" w:cs="Times New Roman"/>
        </w:rPr>
        <w:t xml:space="preserve"> how planting </w:t>
      </w:r>
      <w:proofErr w:type="gramStart"/>
      <w:r w:rsidR="009053A3" w:rsidRPr="005B66CB">
        <w:rPr>
          <w:rFonts w:eastAsia="Aptos" w:cs="Times New Roman"/>
        </w:rPr>
        <w:t>date</w:t>
      </w:r>
      <w:proofErr w:type="gramEnd"/>
      <w:r w:rsidR="00D83A66" w:rsidRPr="005B66CB">
        <w:rPr>
          <w:rFonts w:eastAsia="Aptos" w:cs="Times New Roman"/>
        </w:rPr>
        <w:t xml:space="preserve">, </w:t>
      </w:r>
      <w:r w:rsidRPr="005B66CB">
        <w:rPr>
          <w:rFonts w:eastAsia="Aptos" w:cs="Times New Roman"/>
        </w:rPr>
        <w:t>genetic resistance</w:t>
      </w:r>
      <w:r w:rsidR="00D83A66" w:rsidRPr="005B66CB">
        <w:rPr>
          <w:rFonts w:eastAsia="Aptos" w:cs="Times New Roman"/>
        </w:rPr>
        <w:t xml:space="preserve"> and canopy management</w:t>
      </w:r>
      <w:r w:rsidRPr="005B66CB">
        <w:rPr>
          <w:rFonts w:eastAsia="Aptos" w:cs="Times New Roman"/>
        </w:rPr>
        <w:t xml:space="preserve"> </w:t>
      </w:r>
      <w:r w:rsidR="00F86073" w:rsidRPr="005B66CB">
        <w:rPr>
          <w:rFonts w:eastAsia="Aptos" w:cs="Times New Roman"/>
        </w:rPr>
        <w:t>affect</w:t>
      </w:r>
      <w:r w:rsidR="003C14A0" w:rsidRPr="005B66CB">
        <w:rPr>
          <w:rFonts w:eastAsia="Aptos" w:cs="Times New Roman"/>
        </w:rPr>
        <w:t xml:space="preserve"> </w:t>
      </w:r>
      <w:r w:rsidRPr="005B66CB">
        <w:rPr>
          <w:rFonts w:eastAsia="Aptos" w:cs="Times New Roman"/>
        </w:rPr>
        <w:t>LLS development and how seeding density interacts with genotype to affect LLS severity and yield.</w:t>
      </w:r>
    </w:p>
    <w:p w14:paraId="408B1859" w14:textId="06CCC458" w:rsidR="00795050" w:rsidRPr="005B66CB" w:rsidRDefault="00730E3C" w:rsidP="00176A4F">
      <w:pPr>
        <w:spacing w:after="0" w:line="240" w:lineRule="auto"/>
        <w:rPr>
          <w:rFonts w:eastAsia="Aptos" w:cs="Times New Roman"/>
        </w:rPr>
      </w:pPr>
      <w:r w:rsidRPr="005B66CB">
        <w:rPr>
          <w:rFonts w:eastAsia="Aptos" w:cs="Times New Roman"/>
        </w:rPr>
        <w:t xml:space="preserve">Planting </w:t>
      </w:r>
      <w:proofErr w:type="gramStart"/>
      <w:r w:rsidRPr="005B66CB">
        <w:rPr>
          <w:rFonts w:eastAsia="Aptos" w:cs="Times New Roman"/>
        </w:rPr>
        <w:t>date</w:t>
      </w:r>
      <w:proofErr w:type="gramEnd"/>
      <w:r w:rsidRPr="005B66CB">
        <w:rPr>
          <w:rFonts w:eastAsia="Aptos" w:cs="Times New Roman"/>
        </w:rPr>
        <w:t xml:space="preserve"> significantly affected final LLS severity (F=60.33, P=0.0001) and cumulative disease (AUDPC, F= 24.3, P= 0.0013), with later planting dates increasing disease pressure. Genotype had the </w:t>
      </w:r>
      <w:r w:rsidR="00AB15CF" w:rsidRPr="005B66CB">
        <w:rPr>
          <w:rFonts w:eastAsia="Aptos" w:cs="Times New Roman"/>
        </w:rPr>
        <w:t>strongest influence</w:t>
      </w:r>
      <w:r w:rsidRPr="005B66CB">
        <w:rPr>
          <w:rFonts w:eastAsia="Aptos" w:cs="Times New Roman"/>
        </w:rPr>
        <w:t xml:space="preserve">, showing effects on final ratings (F= 596.86, P &lt;0.0001) and AUDPC (F=704.71, P&lt;0.0001). </w:t>
      </w:r>
      <w:r w:rsidR="00CC0FC4" w:rsidRPr="005B66CB">
        <w:rPr>
          <w:rFonts w:eastAsia="Aptos" w:cs="Times New Roman"/>
        </w:rPr>
        <w:t xml:space="preserve"> </w:t>
      </w:r>
      <w:r w:rsidRPr="005B66CB">
        <w:rPr>
          <w:rFonts w:eastAsia="Aptos" w:cs="Times New Roman"/>
        </w:rPr>
        <w:t xml:space="preserve">A significant planting date by genotype interaction (final rating: F=14.57, P&lt;0.0001; AUDPC: F=7.11, P=0.0003) confirmed that resistant and susceptible lines responded differently to disease risks. </w:t>
      </w:r>
    </w:p>
    <w:p w14:paraId="16D019BC" w14:textId="21BBE9F9" w:rsidR="00795050" w:rsidRPr="005B66CB" w:rsidRDefault="001A35E1" w:rsidP="00176A4F">
      <w:pPr>
        <w:spacing w:after="0" w:line="240" w:lineRule="auto"/>
        <w:rPr>
          <w:rFonts w:eastAsia="Aptos" w:cs="Times New Roman"/>
        </w:rPr>
      </w:pPr>
      <w:r w:rsidRPr="005B66CB">
        <w:rPr>
          <w:rFonts w:eastAsia="Aptos" w:cs="Times New Roman"/>
        </w:rPr>
        <w:t>The susceptible genotype remained highly diseased across planting dates, while resistant genotypes showed greater LLS severity in later plantings.</w:t>
      </w:r>
      <w:r w:rsidR="004E7977" w:rsidRPr="005B66CB">
        <w:rPr>
          <w:rFonts w:eastAsia="Aptos" w:cs="Times New Roman"/>
        </w:rPr>
        <w:t xml:space="preserve"> </w:t>
      </w:r>
      <w:r w:rsidR="003B744A" w:rsidRPr="005B66CB">
        <w:rPr>
          <w:rFonts w:eastAsia="Aptos" w:cs="Times New Roman"/>
        </w:rPr>
        <w:t>Gorbet</w:t>
      </w:r>
      <w:r w:rsidR="00730E3C" w:rsidRPr="005B66CB">
        <w:rPr>
          <w:rFonts w:eastAsia="Aptos" w:cs="Times New Roman"/>
        </w:rPr>
        <w:t xml:space="preserve"> consistently limited disease across planting dates</w:t>
      </w:r>
      <w:r w:rsidR="008B0B72" w:rsidRPr="005B66CB">
        <w:rPr>
          <w:rFonts w:eastAsia="Aptos" w:cs="Times New Roman"/>
        </w:rPr>
        <w:t>, showing</w:t>
      </w:r>
      <w:r w:rsidR="00730E3C" w:rsidRPr="005B66CB">
        <w:rPr>
          <w:rFonts w:eastAsia="Aptos" w:cs="Times New Roman"/>
        </w:rPr>
        <w:t xml:space="preserve"> lower severity in the high-risk late planting than</w:t>
      </w:r>
      <w:r w:rsidR="00A529DD" w:rsidRPr="005B66CB">
        <w:rPr>
          <w:rFonts w:eastAsia="Aptos" w:cs="Times New Roman"/>
        </w:rPr>
        <w:t xml:space="preserve"> </w:t>
      </w:r>
      <w:r w:rsidR="00730E3C" w:rsidRPr="005B66CB">
        <w:rPr>
          <w:rFonts w:eastAsia="Aptos" w:cs="Times New Roman"/>
        </w:rPr>
        <w:t>the susceptible FloRun T61 in low-risk early planting.</w:t>
      </w:r>
      <w:r w:rsidR="009C658C" w:rsidRPr="005B66CB">
        <w:rPr>
          <w:rFonts w:eastAsia="Aptos" w:cs="Times New Roman"/>
        </w:rPr>
        <w:t xml:space="preserve">  </w:t>
      </w:r>
      <w:r w:rsidR="004328C2" w:rsidRPr="005B66CB">
        <w:rPr>
          <w:rFonts w:eastAsia="Aptos" w:cs="Times New Roman"/>
        </w:rPr>
        <w:t>P</w:t>
      </w:r>
      <w:r w:rsidR="009C658C" w:rsidRPr="005B66CB">
        <w:rPr>
          <w:rFonts w:eastAsia="Aptos" w:cs="Times New Roman"/>
        </w:rPr>
        <w:t xml:space="preserve">rohexadione-calcium did not significantly </w:t>
      </w:r>
      <w:r w:rsidR="00CA5A07" w:rsidRPr="005B66CB">
        <w:rPr>
          <w:rFonts w:eastAsia="Aptos" w:cs="Times New Roman"/>
        </w:rPr>
        <w:t xml:space="preserve">change </w:t>
      </w:r>
      <w:r w:rsidR="009C658C" w:rsidRPr="005B66CB">
        <w:rPr>
          <w:rFonts w:eastAsia="Aptos" w:cs="Times New Roman"/>
        </w:rPr>
        <w:t>LLS severity but increased harvest index (F=22.99, P=0.0001)</w:t>
      </w:r>
      <w:r w:rsidR="005C7157" w:rsidRPr="005B66CB">
        <w:rPr>
          <w:rFonts w:eastAsia="Aptos" w:cs="Times New Roman"/>
        </w:rPr>
        <w:t>,</w:t>
      </w:r>
      <w:r w:rsidR="000B2E9C" w:rsidRPr="005B66CB">
        <w:rPr>
          <w:rFonts w:eastAsia="Aptos" w:cs="Times New Roman"/>
        </w:rPr>
        <w:t xml:space="preserve"> </w:t>
      </w:r>
      <w:r w:rsidR="009C658C" w:rsidRPr="005B66CB">
        <w:rPr>
          <w:rFonts w:eastAsia="Aptos" w:cs="Times New Roman"/>
        </w:rPr>
        <w:t xml:space="preserve">suggesting improved biomass </w:t>
      </w:r>
      <w:r w:rsidR="004C7943" w:rsidRPr="005B66CB">
        <w:rPr>
          <w:rFonts w:eastAsia="Aptos" w:cs="Times New Roman"/>
        </w:rPr>
        <w:t>allocation</w:t>
      </w:r>
      <w:r w:rsidR="009C658C" w:rsidRPr="005B66CB">
        <w:rPr>
          <w:rFonts w:eastAsia="Aptos" w:cs="Times New Roman"/>
        </w:rPr>
        <w:t>.</w:t>
      </w:r>
    </w:p>
    <w:p w14:paraId="1043769C" w14:textId="5BEB2D0E" w:rsidR="00730E3C" w:rsidRPr="005B66CB" w:rsidRDefault="00730E3C" w:rsidP="00176A4F">
      <w:pPr>
        <w:spacing w:after="0" w:line="240" w:lineRule="auto"/>
        <w:rPr>
          <w:rFonts w:eastAsia="Aptos" w:cs="Times New Roman"/>
        </w:rPr>
      </w:pPr>
      <w:r w:rsidRPr="005B66CB">
        <w:rPr>
          <w:rFonts w:eastAsia="Aptos" w:cs="Times New Roman"/>
        </w:rPr>
        <w:t xml:space="preserve">In the seeding density experiment, </w:t>
      </w:r>
      <w:r w:rsidR="00473A10" w:rsidRPr="005B66CB">
        <w:rPr>
          <w:rFonts w:eastAsia="Aptos" w:cs="Times New Roman"/>
        </w:rPr>
        <w:t>higher</w:t>
      </w:r>
      <w:r w:rsidRPr="005B66CB">
        <w:rPr>
          <w:rFonts w:eastAsia="Aptos" w:cs="Times New Roman"/>
        </w:rPr>
        <w:t xml:space="preserve"> plant density intensified disease in the susceptible genotype, </w:t>
      </w:r>
      <w:r w:rsidR="00433064" w:rsidRPr="005B66CB">
        <w:rPr>
          <w:rFonts w:eastAsia="Aptos" w:cs="Times New Roman"/>
        </w:rPr>
        <w:t xml:space="preserve">reflecting </w:t>
      </w:r>
      <w:r w:rsidR="00795050" w:rsidRPr="005B66CB">
        <w:rPr>
          <w:rFonts w:eastAsia="Aptos" w:cs="Times New Roman"/>
        </w:rPr>
        <w:t xml:space="preserve">a </w:t>
      </w:r>
      <w:r w:rsidRPr="005B66CB">
        <w:rPr>
          <w:rFonts w:eastAsia="Aptos" w:cs="Times New Roman"/>
        </w:rPr>
        <w:t xml:space="preserve">canopy-driven microclimate effect. </w:t>
      </w:r>
      <w:r w:rsidR="00433064" w:rsidRPr="005B66CB">
        <w:rPr>
          <w:rFonts w:eastAsia="Aptos" w:cs="Times New Roman"/>
        </w:rPr>
        <w:t>R</w:t>
      </w:r>
      <w:r w:rsidRPr="005B66CB">
        <w:rPr>
          <w:rFonts w:eastAsia="Aptos" w:cs="Times New Roman"/>
        </w:rPr>
        <w:t xml:space="preserve">esistant genotypes showed limited disease response to changes in seeding density, and yield responses were primarily </w:t>
      </w:r>
      <w:r w:rsidR="00E6304E" w:rsidRPr="005B66CB">
        <w:rPr>
          <w:rFonts w:eastAsia="Aptos" w:cs="Times New Roman"/>
        </w:rPr>
        <w:t>genotype dependent</w:t>
      </w:r>
      <w:r w:rsidR="008B3713" w:rsidRPr="005B66CB">
        <w:rPr>
          <w:rFonts w:eastAsia="Aptos" w:cs="Times New Roman"/>
        </w:rPr>
        <w:t>.</w:t>
      </w:r>
    </w:p>
    <w:p w14:paraId="2B8BF64A" w14:textId="410BC914" w:rsidR="003D1B3E" w:rsidRPr="005B66CB" w:rsidRDefault="00A42F86" w:rsidP="00176A4F">
      <w:pPr>
        <w:spacing w:after="0" w:line="240" w:lineRule="auto"/>
      </w:pPr>
      <w:r w:rsidRPr="005B66CB">
        <w:t>These findings indicate that planting date and seeding density influence LLS severity through their interaction with variety. Susceptible genotypes exhibited high disease and were sensitive to delayed planting and canopy density.</w:t>
      </w:r>
    </w:p>
    <w:sectPr w:rsidR="003D1B3E" w:rsidRPr="005B66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B3E"/>
    <w:rsid w:val="00002A86"/>
    <w:rsid w:val="00005D19"/>
    <w:rsid w:val="0001164A"/>
    <w:rsid w:val="00053E72"/>
    <w:rsid w:val="000A7A91"/>
    <w:rsid w:val="000B2E9C"/>
    <w:rsid w:val="000E161F"/>
    <w:rsid w:val="000E5BBA"/>
    <w:rsid w:val="00136471"/>
    <w:rsid w:val="0015103B"/>
    <w:rsid w:val="00176A4F"/>
    <w:rsid w:val="001852E4"/>
    <w:rsid w:val="00187D4E"/>
    <w:rsid w:val="001A35E1"/>
    <w:rsid w:val="001D3296"/>
    <w:rsid w:val="001E0ABD"/>
    <w:rsid w:val="001F3961"/>
    <w:rsid w:val="002060F8"/>
    <w:rsid w:val="002719BA"/>
    <w:rsid w:val="002741A5"/>
    <w:rsid w:val="002B3F69"/>
    <w:rsid w:val="00325FAA"/>
    <w:rsid w:val="00340711"/>
    <w:rsid w:val="00346D92"/>
    <w:rsid w:val="00362D11"/>
    <w:rsid w:val="003A2491"/>
    <w:rsid w:val="003B744A"/>
    <w:rsid w:val="003C14A0"/>
    <w:rsid w:val="003D1B3E"/>
    <w:rsid w:val="003D6C9C"/>
    <w:rsid w:val="00413F05"/>
    <w:rsid w:val="004328C2"/>
    <w:rsid w:val="00433064"/>
    <w:rsid w:val="004469F8"/>
    <w:rsid w:val="004601A4"/>
    <w:rsid w:val="00470129"/>
    <w:rsid w:val="00473A10"/>
    <w:rsid w:val="004C7943"/>
    <w:rsid w:val="004E7977"/>
    <w:rsid w:val="005062F9"/>
    <w:rsid w:val="0053213D"/>
    <w:rsid w:val="00540476"/>
    <w:rsid w:val="00593E96"/>
    <w:rsid w:val="00597F86"/>
    <w:rsid w:val="005A06BE"/>
    <w:rsid w:val="005B66CB"/>
    <w:rsid w:val="005C2681"/>
    <w:rsid w:val="005C7157"/>
    <w:rsid w:val="005E0509"/>
    <w:rsid w:val="005E1AA6"/>
    <w:rsid w:val="00621FAB"/>
    <w:rsid w:val="0062308F"/>
    <w:rsid w:val="006549A3"/>
    <w:rsid w:val="006D0249"/>
    <w:rsid w:val="007044FA"/>
    <w:rsid w:val="0070726D"/>
    <w:rsid w:val="0071351E"/>
    <w:rsid w:val="00730E3C"/>
    <w:rsid w:val="00785331"/>
    <w:rsid w:val="00795050"/>
    <w:rsid w:val="00796103"/>
    <w:rsid w:val="007A063E"/>
    <w:rsid w:val="00871239"/>
    <w:rsid w:val="008A2279"/>
    <w:rsid w:val="008B0B72"/>
    <w:rsid w:val="008B3713"/>
    <w:rsid w:val="008C18DC"/>
    <w:rsid w:val="008C4BEF"/>
    <w:rsid w:val="009053A3"/>
    <w:rsid w:val="00934020"/>
    <w:rsid w:val="00977831"/>
    <w:rsid w:val="009C658C"/>
    <w:rsid w:val="00A318B4"/>
    <w:rsid w:val="00A42F86"/>
    <w:rsid w:val="00A529DD"/>
    <w:rsid w:val="00A55FFA"/>
    <w:rsid w:val="00A56992"/>
    <w:rsid w:val="00A904C4"/>
    <w:rsid w:val="00AB15CF"/>
    <w:rsid w:val="00AE1645"/>
    <w:rsid w:val="00B60DDB"/>
    <w:rsid w:val="00B94BAB"/>
    <w:rsid w:val="00BB4999"/>
    <w:rsid w:val="00BE02F4"/>
    <w:rsid w:val="00BE68D8"/>
    <w:rsid w:val="00C048DA"/>
    <w:rsid w:val="00C51FF1"/>
    <w:rsid w:val="00C92EEC"/>
    <w:rsid w:val="00CA09A0"/>
    <w:rsid w:val="00CA5A07"/>
    <w:rsid w:val="00CC0FC4"/>
    <w:rsid w:val="00CC3063"/>
    <w:rsid w:val="00CE6C54"/>
    <w:rsid w:val="00D20F3F"/>
    <w:rsid w:val="00D26137"/>
    <w:rsid w:val="00D83A66"/>
    <w:rsid w:val="00DA38E5"/>
    <w:rsid w:val="00DC0EBC"/>
    <w:rsid w:val="00DC1B08"/>
    <w:rsid w:val="00DD1881"/>
    <w:rsid w:val="00DE3D2F"/>
    <w:rsid w:val="00DF4A33"/>
    <w:rsid w:val="00E20BC6"/>
    <w:rsid w:val="00E25CB5"/>
    <w:rsid w:val="00E33696"/>
    <w:rsid w:val="00E54033"/>
    <w:rsid w:val="00E6304E"/>
    <w:rsid w:val="00EA2B2F"/>
    <w:rsid w:val="00EA4CD0"/>
    <w:rsid w:val="00EC720A"/>
    <w:rsid w:val="00ED137A"/>
    <w:rsid w:val="00EE57C3"/>
    <w:rsid w:val="00EE5C72"/>
    <w:rsid w:val="00EE6747"/>
    <w:rsid w:val="00F03CDF"/>
    <w:rsid w:val="00F86073"/>
    <w:rsid w:val="00FB714E"/>
    <w:rsid w:val="00FC0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36A2F"/>
  <w15:chartTrackingRefBased/>
  <w15:docId w15:val="{65D1D78B-81F6-4FBA-9E20-CA9C2FFEF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E3C"/>
  </w:style>
  <w:style w:type="paragraph" w:styleId="Heading1">
    <w:name w:val="heading 1"/>
    <w:basedOn w:val="Normal"/>
    <w:next w:val="Normal"/>
    <w:link w:val="Heading1Char"/>
    <w:uiPriority w:val="9"/>
    <w:qFormat/>
    <w:rsid w:val="003D1B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B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B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B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B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B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B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B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B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B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B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B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B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B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B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B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B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B3E"/>
    <w:rPr>
      <w:rFonts w:eastAsiaTheme="majorEastAsia" w:cstheme="majorBidi"/>
      <w:color w:val="272727" w:themeColor="text1" w:themeTint="D8"/>
    </w:rPr>
  </w:style>
  <w:style w:type="paragraph" w:styleId="Title">
    <w:name w:val="Title"/>
    <w:basedOn w:val="Normal"/>
    <w:next w:val="Normal"/>
    <w:link w:val="TitleChar"/>
    <w:uiPriority w:val="10"/>
    <w:qFormat/>
    <w:rsid w:val="003D1B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B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B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B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B3E"/>
    <w:pPr>
      <w:spacing w:before="160"/>
      <w:jc w:val="center"/>
    </w:pPr>
    <w:rPr>
      <w:i/>
      <w:iCs/>
      <w:color w:val="404040" w:themeColor="text1" w:themeTint="BF"/>
    </w:rPr>
  </w:style>
  <w:style w:type="character" w:customStyle="1" w:styleId="QuoteChar">
    <w:name w:val="Quote Char"/>
    <w:basedOn w:val="DefaultParagraphFont"/>
    <w:link w:val="Quote"/>
    <w:uiPriority w:val="29"/>
    <w:rsid w:val="003D1B3E"/>
    <w:rPr>
      <w:i/>
      <w:iCs/>
      <w:color w:val="404040" w:themeColor="text1" w:themeTint="BF"/>
    </w:rPr>
  </w:style>
  <w:style w:type="paragraph" w:styleId="ListParagraph">
    <w:name w:val="List Paragraph"/>
    <w:basedOn w:val="Normal"/>
    <w:uiPriority w:val="34"/>
    <w:qFormat/>
    <w:rsid w:val="003D1B3E"/>
    <w:pPr>
      <w:ind w:left="720"/>
      <w:contextualSpacing/>
    </w:pPr>
  </w:style>
  <w:style w:type="character" w:styleId="IntenseEmphasis">
    <w:name w:val="Intense Emphasis"/>
    <w:basedOn w:val="DefaultParagraphFont"/>
    <w:uiPriority w:val="21"/>
    <w:qFormat/>
    <w:rsid w:val="003D1B3E"/>
    <w:rPr>
      <w:i/>
      <w:iCs/>
      <w:color w:val="0F4761" w:themeColor="accent1" w:themeShade="BF"/>
    </w:rPr>
  </w:style>
  <w:style w:type="paragraph" w:styleId="IntenseQuote">
    <w:name w:val="Intense Quote"/>
    <w:basedOn w:val="Normal"/>
    <w:next w:val="Normal"/>
    <w:link w:val="IntenseQuoteChar"/>
    <w:uiPriority w:val="30"/>
    <w:qFormat/>
    <w:rsid w:val="003D1B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B3E"/>
    <w:rPr>
      <w:i/>
      <w:iCs/>
      <w:color w:val="0F4761" w:themeColor="accent1" w:themeShade="BF"/>
    </w:rPr>
  </w:style>
  <w:style w:type="character" w:styleId="IntenseReference">
    <w:name w:val="Intense Reference"/>
    <w:basedOn w:val="DefaultParagraphFont"/>
    <w:uiPriority w:val="32"/>
    <w:qFormat/>
    <w:rsid w:val="003D1B3E"/>
    <w:rPr>
      <w:b/>
      <w:bCs/>
      <w:smallCaps/>
      <w:color w:val="0F4761" w:themeColor="accent1" w:themeShade="BF"/>
      <w:spacing w:val="5"/>
    </w:rPr>
  </w:style>
  <w:style w:type="paragraph" w:styleId="Revision">
    <w:name w:val="Revision"/>
    <w:hidden/>
    <w:uiPriority w:val="99"/>
    <w:semiHidden/>
    <w:rsid w:val="007853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B707B89307EE4E9698B60C1EEE2FF0" ma:contentTypeVersion="19" ma:contentTypeDescription="Create a new document." ma:contentTypeScope="" ma:versionID="cf4fe76e5b6b43b515c51bf643b071c9">
  <xsd:schema xmlns:xsd="http://www.w3.org/2001/XMLSchema" xmlns:xs="http://www.w3.org/2001/XMLSchema" xmlns:p="http://schemas.microsoft.com/office/2006/metadata/properties" xmlns:ns2="9ff5164a-d215-43c7-90d4-0cae688d6bc3" xmlns:ns3="fc9091fb-a464-44de-b7da-76c40cea459e" targetNamespace="http://schemas.microsoft.com/office/2006/metadata/properties" ma:root="true" ma:fieldsID="f8e86733ff6b6500661ef17ad800268c" ns2:_="" ns3:_="">
    <xsd:import namespace="9ff5164a-d215-43c7-90d4-0cae688d6bc3"/>
    <xsd:import namespace="fc9091fb-a464-44de-b7da-76c40cea45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5164a-d215-43c7-90d4-0cae688d6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0c477a-f09e-4137-8c49-77869fdcca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9091fb-a464-44de-b7da-76c40cea459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cade8c-c768-4e49-8e9e-8defba98b127}" ma:internalName="TaxCatchAll" ma:showField="CatchAllData" ma:web="fc9091fb-a464-44de-b7da-76c40cea45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ff5164a-d215-43c7-90d4-0cae688d6bc3">
      <Terms xmlns="http://schemas.microsoft.com/office/infopath/2007/PartnerControls"/>
    </lcf76f155ced4ddcb4097134ff3c332f>
    <TaxCatchAll xmlns="fc9091fb-a464-44de-b7da-76c40cea459e" xsi:nil="true"/>
  </documentManagement>
</p:properties>
</file>

<file path=customXml/itemProps1.xml><?xml version="1.0" encoding="utf-8"?>
<ds:datastoreItem xmlns:ds="http://schemas.openxmlformats.org/officeDocument/2006/customXml" ds:itemID="{FB562493-5357-4E87-BE2A-9044C3B56B6C}">
  <ds:schemaRefs>
    <ds:schemaRef ds:uri="http://schemas.microsoft.com/sharepoint/v3/contenttype/forms"/>
  </ds:schemaRefs>
</ds:datastoreItem>
</file>

<file path=customXml/itemProps2.xml><?xml version="1.0" encoding="utf-8"?>
<ds:datastoreItem xmlns:ds="http://schemas.openxmlformats.org/officeDocument/2006/customXml" ds:itemID="{43062830-45DB-406B-A9DF-022D493E58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5164a-d215-43c7-90d4-0cae688d6bc3"/>
    <ds:schemaRef ds:uri="fc9091fb-a464-44de-b7da-76c40cea4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D1F517-BC83-438A-9D1D-B9FAFEBC82C5}">
  <ds:schemaRefs>
    <ds:schemaRef ds:uri="http://schemas.microsoft.com/office/2006/metadata/properties"/>
    <ds:schemaRef ds:uri="http://schemas.microsoft.com/office/infopath/2007/PartnerControls"/>
    <ds:schemaRef ds:uri="9ff5164a-d215-43c7-90d4-0cae688d6bc3"/>
    <ds:schemaRef ds:uri="fc9091fb-a464-44de-b7da-76c40cea459e"/>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1</Pages>
  <Words>294</Words>
  <Characters>1906</Characters>
  <Application>Microsoft Office Word</Application>
  <DocSecurity>0</DocSecurity>
  <Lines>29</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Florida - IFAS</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Oduor, Joseph Odingo</dc:creator>
  <cp:keywords/>
  <dc:description/>
  <cp:lastModifiedBy>Oduor, Joseph Odingo</cp:lastModifiedBy>
  <cp:revision>108</cp:revision>
  <dcterms:created xsi:type="dcterms:W3CDTF">2026-03-19T18:59:00Z</dcterms:created>
  <dcterms:modified xsi:type="dcterms:W3CDTF">2026-03-26T19:33:00Z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9c7895ff-0116-48c7-a706-50ab45a0fa3f</vt:lpwstr>
  </property>
  <property fmtid="{D5CDD505-2E9C-101B-9397-08002B2CF9AE}" pid="3" name="ContentTypeId">
    <vt:lpwstr>0x0101003BB707B89307EE4E9698B60C1EEE2FF0</vt:lpwstr>
  </property>
  <property fmtid="{D5CDD505-2E9C-101B-9397-08002B2CF9AE}" pid="4" name="MediaServiceImageTags">
    <vt:lpwstr/>
  </property>
</Properties>
</file>