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D92A8" w14:textId="77777777" w:rsidR="002520F5" w:rsidRPr="005C6785" w:rsidRDefault="002520F5">
      <w:pPr>
        <w:rPr>
          <w:rFonts w:ascii="Aptos" w:hAnsi="Aptos"/>
          <w:sz w:val="20"/>
          <w:szCs w:val="20"/>
        </w:rPr>
      </w:pPr>
    </w:p>
    <w:p w14:paraId="7D395E85" w14:textId="77777777" w:rsidR="002A14CB" w:rsidRPr="005C6785" w:rsidRDefault="002A14CB"/>
    <w:p w14:paraId="69B8D72D" w14:textId="628DA0D1" w:rsidR="002A14CB" w:rsidRPr="005C6785" w:rsidRDefault="002A14CB" w:rsidP="005C6785">
      <w:pPr>
        <w:pStyle w:val="BodyText"/>
        <w:spacing w:line="251" w:lineRule="auto"/>
        <w:ind w:left="0" w:firstLine="105"/>
        <w:rPr>
          <w:rFonts w:ascii="Aptos" w:hAnsi="Aptos"/>
          <w:b/>
          <w:spacing w:val="-1"/>
          <w:sz w:val="24"/>
          <w:szCs w:val="24"/>
          <w:u w:color="000000"/>
        </w:rPr>
      </w:pPr>
      <w:r w:rsidRPr="005C6785">
        <w:rPr>
          <w:rFonts w:ascii="Aptos" w:hAnsi="Aptos"/>
          <w:b/>
          <w:spacing w:val="-1"/>
          <w:sz w:val="24"/>
          <w:szCs w:val="24"/>
          <w:u w:color="000000"/>
        </w:rPr>
        <w:t xml:space="preserve">Cultivars, </w:t>
      </w:r>
      <w:r w:rsidR="00D760F6" w:rsidRPr="005C6785">
        <w:rPr>
          <w:rFonts w:ascii="Aptos" w:hAnsi="Aptos"/>
          <w:b/>
          <w:spacing w:val="-1"/>
          <w:sz w:val="24"/>
          <w:szCs w:val="24"/>
          <w:u w:color="000000"/>
        </w:rPr>
        <w:t>Pedigrees</w:t>
      </w:r>
      <w:r w:rsidRPr="005C6785">
        <w:rPr>
          <w:rFonts w:ascii="Aptos" w:hAnsi="Aptos"/>
          <w:b/>
          <w:spacing w:val="-1"/>
          <w:sz w:val="24"/>
          <w:szCs w:val="24"/>
          <w:u w:color="000000"/>
        </w:rPr>
        <w:t xml:space="preserve"> and Genetic Vulnerability</w:t>
      </w:r>
    </w:p>
    <w:p w14:paraId="4B24E479" w14:textId="6E83408C" w:rsidR="005C6785" w:rsidRPr="005C6785" w:rsidRDefault="002A14CB" w:rsidP="005C6785">
      <w:pPr>
        <w:pStyle w:val="BodyText"/>
        <w:rPr>
          <w:rFonts w:ascii="Aptos" w:hAnsi="Aptos"/>
          <w:sz w:val="24"/>
          <w:szCs w:val="24"/>
        </w:rPr>
      </w:pPr>
      <w:r w:rsidRPr="005C6785">
        <w:rPr>
          <w:rFonts w:ascii="Aptos" w:hAnsi="Aptos"/>
          <w:b/>
          <w:bCs/>
          <w:sz w:val="24"/>
          <w:szCs w:val="24"/>
        </w:rPr>
        <w:t>TALLURY</w:t>
      </w:r>
      <w:r w:rsidR="005C6785" w:rsidRPr="005C6785">
        <w:rPr>
          <w:rFonts w:ascii="Aptos" w:hAnsi="Aptos"/>
          <w:b/>
          <w:bCs/>
          <w:sz w:val="24"/>
          <w:szCs w:val="24"/>
        </w:rPr>
        <w:t>, S. P.</w:t>
      </w:r>
    </w:p>
    <w:p w14:paraId="69A627A7" w14:textId="41EE2B70" w:rsidR="002A14CB" w:rsidRPr="005C6785" w:rsidRDefault="00346591" w:rsidP="005C6785">
      <w:pPr>
        <w:pStyle w:val="BodyText"/>
        <w:rPr>
          <w:rFonts w:ascii="Aptos" w:hAnsi="Aptos"/>
          <w:spacing w:val="14"/>
          <w:sz w:val="24"/>
          <w:szCs w:val="24"/>
        </w:rPr>
      </w:pPr>
      <w:r w:rsidRPr="005C6785">
        <w:rPr>
          <w:rFonts w:ascii="Aptos" w:hAnsi="Aptos"/>
          <w:spacing w:val="14"/>
          <w:sz w:val="24"/>
          <w:szCs w:val="24"/>
        </w:rPr>
        <w:t>U</w:t>
      </w:r>
      <w:r w:rsidR="005C6785" w:rsidRPr="005C6785">
        <w:rPr>
          <w:rFonts w:ascii="Aptos" w:hAnsi="Aptos"/>
          <w:spacing w:val="14"/>
          <w:sz w:val="24"/>
          <w:szCs w:val="24"/>
        </w:rPr>
        <w:t>.</w:t>
      </w:r>
      <w:r w:rsidRPr="005C6785">
        <w:rPr>
          <w:rFonts w:ascii="Aptos" w:hAnsi="Aptos"/>
          <w:spacing w:val="14"/>
          <w:sz w:val="24"/>
          <w:szCs w:val="24"/>
        </w:rPr>
        <w:t>S</w:t>
      </w:r>
      <w:r w:rsidR="005C6785" w:rsidRPr="005C6785">
        <w:rPr>
          <w:rFonts w:ascii="Aptos" w:hAnsi="Aptos"/>
          <w:spacing w:val="14"/>
          <w:sz w:val="24"/>
          <w:szCs w:val="24"/>
        </w:rPr>
        <w:t xml:space="preserve">. </w:t>
      </w:r>
      <w:r w:rsidRPr="005C6785">
        <w:rPr>
          <w:rFonts w:ascii="Aptos" w:hAnsi="Aptos"/>
          <w:spacing w:val="14"/>
          <w:sz w:val="24"/>
          <w:szCs w:val="24"/>
        </w:rPr>
        <w:t>D</w:t>
      </w:r>
      <w:r w:rsidR="005C6785" w:rsidRPr="005C6785">
        <w:rPr>
          <w:rFonts w:ascii="Aptos" w:hAnsi="Aptos"/>
          <w:spacing w:val="14"/>
          <w:sz w:val="24"/>
          <w:szCs w:val="24"/>
        </w:rPr>
        <w:t>epartment of Agriculture, Agricultural Research Service</w:t>
      </w:r>
      <w:r w:rsidRPr="005C6785">
        <w:rPr>
          <w:rFonts w:ascii="Aptos" w:hAnsi="Aptos"/>
          <w:spacing w:val="14"/>
          <w:sz w:val="24"/>
          <w:szCs w:val="24"/>
        </w:rPr>
        <w:t>, Griffin, GA 30223</w:t>
      </w:r>
    </w:p>
    <w:p w14:paraId="4A5067D4" w14:textId="77777777" w:rsidR="005C6785" w:rsidRPr="005C6785" w:rsidRDefault="005C6785" w:rsidP="005C6785">
      <w:pPr>
        <w:pStyle w:val="BodyText"/>
        <w:rPr>
          <w:rFonts w:ascii="Aptos" w:hAnsi="Aptos"/>
          <w:sz w:val="24"/>
          <w:szCs w:val="24"/>
        </w:rPr>
      </w:pPr>
    </w:p>
    <w:p w14:paraId="2105B054" w14:textId="2A6C1168" w:rsidR="0077522B" w:rsidRPr="005C6785" w:rsidRDefault="00D760F6" w:rsidP="002A14CB">
      <w:pPr>
        <w:pStyle w:val="BodyText"/>
        <w:spacing w:line="251" w:lineRule="auto"/>
        <w:ind w:right="107"/>
        <w:rPr>
          <w:rFonts w:ascii="Aptos" w:hAnsi="Aptos"/>
          <w:sz w:val="24"/>
          <w:szCs w:val="24"/>
        </w:rPr>
      </w:pPr>
      <w:r w:rsidRPr="005C6785">
        <w:rPr>
          <w:rFonts w:ascii="Aptos" w:hAnsi="Aptos"/>
          <w:sz w:val="24"/>
          <w:szCs w:val="24"/>
        </w:rPr>
        <w:t xml:space="preserve">The </w:t>
      </w:r>
      <w:r w:rsidR="002A14CB" w:rsidRPr="005C6785">
        <w:rPr>
          <w:rFonts w:ascii="Aptos" w:hAnsi="Aptos"/>
          <w:sz w:val="24"/>
          <w:szCs w:val="24"/>
        </w:rPr>
        <w:t xml:space="preserve">Association of Official Seed Certifying Agencies (AOSCA) report of certified seed acres in 2024 and 2025 listed about 50 cultivars in the different commercial seed production stages including Foundation, Registered and Certified. </w:t>
      </w:r>
      <w:r w:rsidR="00985B09" w:rsidRPr="005C6785">
        <w:rPr>
          <w:rFonts w:ascii="Aptos" w:hAnsi="Aptos"/>
          <w:sz w:val="24"/>
          <w:szCs w:val="24"/>
        </w:rPr>
        <w:t>It is reasonable to assume that these</w:t>
      </w:r>
      <w:r w:rsidR="00FE3F81" w:rsidRPr="005C6785">
        <w:rPr>
          <w:rFonts w:ascii="Aptos" w:hAnsi="Aptos"/>
          <w:sz w:val="24"/>
          <w:szCs w:val="24"/>
        </w:rPr>
        <w:t xml:space="preserve"> cultivars will be in </w:t>
      </w:r>
      <w:r w:rsidR="00E07D70" w:rsidRPr="005C6785">
        <w:rPr>
          <w:rFonts w:ascii="Aptos" w:hAnsi="Aptos"/>
          <w:sz w:val="24"/>
          <w:szCs w:val="24"/>
        </w:rPr>
        <w:t>domestic</w:t>
      </w:r>
      <w:r w:rsidR="00FE3F81" w:rsidRPr="005C6785">
        <w:rPr>
          <w:rFonts w:ascii="Aptos" w:hAnsi="Aptos"/>
          <w:sz w:val="24"/>
          <w:szCs w:val="24"/>
        </w:rPr>
        <w:t xml:space="preserve"> production for the </w:t>
      </w:r>
      <w:r w:rsidR="007812B7" w:rsidRPr="005C6785">
        <w:rPr>
          <w:rFonts w:ascii="Aptos" w:hAnsi="Aptos"/>
          <w:sz w:val="24"/>
          <w:szCs w:val="24"/>
        </w:rPr>
        <w:t xml:space="preserve">next 5 years and beyond. </w:t>
      </w:r>
      <w:r w:rsidRPr="005C6785">
        <w:rPr>
          <w:rFonts w:ascii="Aptos" w:hAnsi="Aptos"/>
          <w:sz w:val="24"/>
          <w:szCs w:val="24"/>
        </w:rPr>
        <w:t xml:space="preserve">Although </w:t>
      </w:r>
      <w:r w:rsidR="006B4A80" w:rsidRPr="005C6785">
        <w:rPr>
          <w:rFonts w:ascii="Aptos" w:hAnsi="Aptos"/>
          <w:sz w:val="24"/>
          <w:szCs w:val="24"/>
        </w:rPr>
        <w:t>the number of cultivars is large, w</w:t>
      </w:r>
      <w:r w:rsidR="002A14CB" w:rsidRPr="005C6785">
        <w:rPr>
          <w:rFonts w:ascii="Aptos" w:hAnsi="Aptos"/>
          <w:sz w:val="24"/>
          <w:szCs w:val="24"/>
        </w:rPr>
        <w:t>ithin each of the three main production regions</w:t>
      </w:r>
      <w:r w:rsidR="00217DE9" w:rsidRPr="005C6785">
        <w:rPr>
          <w:rFonts w:ascii="Aptos" w:hAnsi="Aptos"/>
          <w:sz w:val="24"/>
          <w:szCs w:val="24"/>
        </w:rPr>
        <w:t>,</w:t>
      </w:r>
      <w:r w:rsidR="0077522B" w:rsidRPr="005C6785">
        <w:rPr>
          <w:rFonts w:ascii="Aptos" w:hAnsi="Aptos"/>
          <w:sz w:val="24"/>
          <w:szCs w:val="24"/>
        </w:rPr>
        <w:t xml:space="preserve"> </w:t>
      </w:r>
      <w:r w:rsidR="002A14CB" w:rsidRPr="005C6785">
        <w:rPr>
          <w:rFonts w:ascii="Aptos" w:hAnsi="Aptos"/>
          <w:sz w:val="24"/>
          <w:szCs w:val="24"/>
        </w:rPr>
        <w:t xml:space="preserve">only a few </w:t>
      </w:r>
      <w:r w:rsidR="00C30735" w:rsidRPr="005C6785">
        <w:rPr>
          <w:rFonts w:ascii="Aptos" w:hAnsi="Aptos"/>
          <w:sz w:val="24"/>
          <w:szCs w:val="24"/>
        </w:rPr>
        <w:t xml:space="preserve">cultivars </w:t>
      </w:r>
      <w:r w:rsidR="00F708A5" w:rsidRPr="005C6785">
        <w:rPr>
          <w:rFonts w:ascii="Aptos" w:hAnsi="Aptos"/>
          <w:sz w:val="24"/>
          <w:szCs w:val="24"/>
        </w:rPr>
        <w:t xml:space="preserve">are </w:t>
      </w:r>
      <w:r w:rsidR="00FB5172" w:rsidRPr="005C6785">
        <w:rPr>
          <w:rFonts w:ascii="Aptos" w:hAnsi="Aptos"/>
          <w:sz w:val="24"/>
          <w:szCs w:val="24"/>
        </w:rPr>
        <w:t>popular on commercial farms because of</w:t>
      </w:r>
      <w:r w:rsidR="00C71C96" w:rsidRPr="005C6785">
        <w:rPr>
          <w:rFonts w:ascii="Aptos" w:hAnsi="Aptos"/>
          <w:sz w:val="24"/>
          <w:szCs w:val="24"/>
        </w:rPr>
        <w:t xml:space="preserve"> their superior industry </w:t>
      </w:r>
      <w:r w:rsidR="00992F99" w:rsidRPr="005C6785">
        <w:rPr>
          <w:rFonts w:ascii="Aptos" w:hAnsi="Aptos"/>
          <w:sz w:val="24"/>
          <w:szCs w:val="24"/>
        </w:rPr>
        <w:t>standards.</w:t>
      </w:r>
      <w:r w:rsidR="002A14CB" w:rsidRPr="005C6785">
        <w:rPr>
          <w:rFonts w:ascii="Aptos" w:hAnsi="Aptos"/>
          <w:sz w:val="24"/>
          <w:szCs w:val="24"/>
        </w:rPr>
        <w:t xml:space="preserve"> </w:t>
      </w:r>
      <w:r w:rsidR="00085308" w:rsidRPr="005C6785">
        <w:rPr>
          <w:rFonts w:ascii="Aptos" w:hAnsi="Aptos"/>
          <w:sz w:val="24"/>
          <w:szCs w:val="24"/>
        </w:rPr>
        <w:t xml:space="preserve">Additionally, </w:t>
      </w:r>
      <w:r w:rsidR="00A6442B" w:rsidRPr="005C6785">
        <w:rPr>
          <w:rFonts w:ascii="Aptos" w:hAnsi="Aptos"/>
          <w:sz w:val="24"/>
          <w:szCs w:val="24"/>
        </w:rPr>
        <w:t>the cultivars showed common genetic lineages based on their pedigrees</w:t>
      </w:r>
      <w:r w:rsidR="00331A56" w:rsidRPr="005C6785">
        <w:rPr>
          <w:rFonts w:ascii="Aptos" w:hAnsi="Aptos"/>
          <w:sz w:val="24"/>
          <w:szCs w:val="24"/>
        </w:rPr>
        <w:t xml:space="preserve"> within each production region</w:t>
      </w:r>
      <w:r w:rsidR="00B423A3" w:rsidRPr="005C6785">
        <w:rPr>
          <w:rFonts w:ascii="Aptos" w:hAnsi="Aptos"/>
          <w:sz w:val="24"/>
          <w:szCs w:val="24"/>
        </w:rPr>
        <w:t>.</w:t>
      </w:r>
      <w:r w:rsidR="00402739" w:rsidRPr="005C6785">
        <w:rPr>
          <w:rFonts w:ascii="Aptos" w:hAnsi="Aptos"/>
          <w:sz w:val="24"/>
          <w:szCs w:val="24"/>
        </w:rPr>
        <w:t xml:space="preserve"> </w:t>
      </w:r>
      <w:r w:rsidR="00B423A3" w:rsidRPr="005C6785">
        <w:rPr>
          <w:rFonts w:ascii="Aptos" w:hAnsi="Aptos"/>
          <w:sz w:val="24"/>
          <w:szCs w:val="24"/>
        </w:rPr>
        <w:t xml:space="preserve">The predominance of a few popular cultivars with related pedigrees may expose the crop </w:t>
      </w:r>
      <w:r w:rsidR="0077522B" w:rsidRPr="005C6785">
        <w:rPr>
          <w:rFonts w:ascii="Aptos" w:hAnsi="Aptos"/>
          <w:sz w:val="24"/>
          <w:szCs w:val="24"/>
        </w:rPr>
        <w:t xml:space="preserve">to </w:t>
      </w:r>
      <w:r w:rsidR="00B423A3" w:rsidRPr="005C6785">
        <w:rPr>
          <w:rFonts w:ascii="Aptos" w:hAnsi="Aptos"/>
          <w:sz w:val="24"/>
          <w:szCs w:val="24"/>
        </w:rPr>
        <w:t xml:space="preserve">future </w:t>
      </w:r>
      <w:r w:rsidR="0077522B" w:rsidRPr="005C6785">
        <w:rPr>
          <w:rFonts w:ascii="Aptos" w:hAnsi="Aptos"/>
          <w:sz w:val="24"/>
          <w:szCs w:val="24"/>
        </w:rPr>
        <w:t xml:space="preserve">genetic </w:t>
      </w:r>
      <w:r w:rsidR="002A14CB" w:rsidRPr="005C6785">
        <w:rPr>
          <w:rFonts w:ascii="Aptos" w:hAnsi="Aptos"/>
          <w:sz w:val="24"/>
          <w:szCs w:val="24"/>
        </w:rPr>
        <w:t>vulnerab</w:t>
      </w:r>
      <w:r w:rsidR="0077522B" w:rsidRPr="005C6785">
        <w:rPr>
          <w:rFonts w:ascii="Aptos" w:hAnsi="Aptos"/>
          <w:sz w:val="24"/>
          <w:szCs w:val="24"/>
        </w:rPr>
        <w:t xml:space="preserve">ilities from </w:t>
      </w:r>
      <w:r w:rsidR="002A14CB" w:rsidRPr="005C6785">
        <w:rPr>
          <w:rFonts w:ascii="Aptos" w:hAnsi="Aptos"/>
          <w:sz w:val="24"/>
          <w:szCs w:val="24"/>
        </w:rPr>
        <w:t>pests and pathogens.</w:t>
      </w:r>
      <w:r w:rsidR="0077522B" w:rsidRPr="005C6785">
        <w:rPr>
          <w:rFonts w:ascii="Aptos" w:hAnsi="Aptos"/>
          <w:sz w:val="24"/>
          <w:szCs w:val="24"/>
        </w:rPr>
        <w:t xml:space="preserve"> </w:t>
      </w:r>
      <w:r w:rsidR="00B423A3" w:rsidRPr="005C6785">
        <w:rPr>
          <w:rFonts w:ascii="Aptos" w:hAnsi="Aptos"/>
          <w:sz w:val="24"/>
          <w:szCs w:val="24"/>
        </w:rPr>
        <w:t xml:space="preserve">Many of the cultivars in the southeastern (SE) production contained traces of </w:t>
      </w:r>
      <w:r w:rsidR="0077522B" w:rsidRPr="005C6785">
        <w:rPr>
          <w:rFonts w:ascii="Aptos" w:hAnsi="Aptos"/>
          <w:sz w:val="24"/>
          <w:szCs w:val="24"/>
        </w:rPr>
        <w:t xml:space="preserve">PI 203396, PI 259785, </w:t>
      </w:r>
      <w:r w:rsidR="00B423A3" w:rsidRPr="005C6785">
        <w:rPr>
          <w:rFonts w:ascii="Aptos" w:hAnsi="Aptos"/>
          <w:sz w:val="24"/>
          <w:szCs w:val="24"/>
        </w:rPr>
        <w:t xml:space="preserve">and </w:t>
      </w:r>
      <w:r w:rsidR="0077522B" w:rsidRPr="005C6785">
        <w:rPr>
          <w:rFonts w:ascii="Aptos" w:hAnsi="Aptos"/>
          <w:i/>
          <w:iCs/>
          <w:sz w:val="24"/>
          <w:szCs w:val="24"/>
        </w:rPr>
        <w:t>A</w:t>
      </w:r>
      <w:r w:rsidR="00346591" w:rsidRPr="005C6785">
        <w:rPr>
          <w:rFonts w:ascii="Aptos" w:hAnsi="Aptos"/>
          <w:i/>
          <w:iCs/>
          <w:sz w:val="24"/>
          <w:szCs w:val="24"/>
        </w:rPr>
        <w:t xml:space="preserve">rachis </w:t>
      </w:r>
      <w:r w:rsidR="0077522B" w:rsidRPr="005C6785">
        <w:rPr>
          <w:rFonts w:ascii="Aptos" w:hAnsi="Aptos"/>
          <w:i/>
          <w:iCs/>
          <w:sz w:val="24"/>
          <w:szCs w:val="24"/>
        </w:rPr>
        <w:t>cardenasii</w:t>
      </w:r>
      <w:r w:rsidR="001C0EC7" w:rsidRPr="005C6785">
        <w:rPr>
          <w:rFonts w:ascii="Aptos" w:hAnsi="Aptos"/>
          <w:sz w:val="24"/>
          <w:szCs w:val="24"/>
        </w:rPr>
        <w:t xml:space="preserve"> via Coan</w:t>
      </w:r>
      <w:r w:rsidR="00B423A3" w:rsidRPr="005C6785">
        <w:rPr>
          <w:rFonts w:ascii="Aptos" w:hAnsi="Aptos"/>
          <w:sz w:val="24"/>
          <w:szCs w:val="24"/>
        </w:rPr>
        <w:t xml:space="preserve">. In the Virginia-Carolina (VC) region, </w:t>
      </w:r>
      <w:r w:rsidR="00B423A3" w:rsidRPr="005C6785">
        <w:rPr>
          <w:rFonts w:ascii="Aptos" w:hAnsi="Aptos"/>
          <w:i/>
          <w:iCs/>
          <w:sz w:val="24"/>
          <w:szCs w:val="24"/>
        </w:rPr>
        <w:t>A. cardenasii</w:t>
      </w:r>
      <w:r w:rsidR="00B423A3" w:rsidRPr="005C6785">
        <w:rPr>
          <w:rFonts w:ascii="Aptos" w:hAnsi="Aptos"/>
          <w:sz w:val="24"/>
          <w:szCs w:val="24"/>
        </w:rPr>
        <w:t xml:space="preserve"> via Bailey and in the southwest (SW), PI 109839 lineages </w:t>
      </w:r>
      <w:r w:rsidR="00346591" w:rsidRPr="005C6785">
        <w:rPr>
          <w:rFonts w:ascii="Aptos" w:hAnsi="Aptos"/>
          <w:sz w:val="24"/>
          <w:szCs w:val="24"/>
        </w:rPr>
        <w:t>a</w:t>
      </w:r>
      <w:r w:rsidR="00B423A3" w:rsidRPr="005C6785">
        <w:rPr>
          <w:rFonts w:ascii="Aptos" w:hAnsi="Aptos"/>
          <w:sz w:val="24"/>
          <w:szCs w:val="24"/>
        </w:rPr>
        <w:t xml:space="preserve">re more common. </w:t>
      </w:r>
      <w:r w:rsidR="009474AB" w:rsidRPr="005C6785">
        <w:rPr>
          <w:rFonts w:ascii="Aptos" w:hAnsi="Aptos"/>
          <w:sz w:val="24"/>
          <w:szCs w:val="24"/>
        </w:rPr>
        <w:t>I</w:t>
      </w:r>
      <w:r w:rsidR="00B423A3" w:rsidRPr="005C6785">
        <w:rPr>
          <w:rFonts w:ascii="Aptos" w:hAnsi="Aptos"/>
          <w:sz w:val="24"/>
          <w:szCs w:val="24"/>
        </w:rPr>
        <w:t xml:space="preserve">t is suggested that PIs from the USDA peanut collection must be evaluated for traits of interest and used in </w:t>
      </w:r>
      <w:r w:rsidR="00346591" w:rsidRPr="005C6785">
        <w:rPr>
          <w:rFonts w:ascii="Aptos" w:hAnsi="Aptos"/>
          <w:sz w:val="24"/>
          <w:szCs w:val="24"/>
        </w:rPr>
        <w:t xml:space="preserve">future </w:t>
      </w:r>
      <w:r w:rsidR="00B423A3" w:rsidRPr="005C6785">
        <w:rPr>
          <w:rFonts w:ascii="Aptos" w:hAnsi="Aptos"/>
          <w:sz w:val="24"/>
          <w:szCs w:val="24"/>
        </w:rPr>
        <w:t>cultivar development to dive</w:t>
      </w:r>
      <w:r w:rsidR="00346591" w:rsidRPr="005C6785">
        <w:rPr>
          <w:rFonts w:ascii="Aptos" w:hAnsi="Aptos"/>
          <w:sz w:val="24"/>
          <w:szCs w:val="24"/>
        </w:rPr>
        <w:t xml:space="preserve">rsify the genetic background from genetic vulnerability.  </w:t>
      </w:r>
    </w:p>
    <w:p w14:paraId="2454DA4F" w14:textId="77777777" w:rsidR="0077522B" w:rsidRPr="005C6785" w:rsidRDefault="0077522B" w:rsidP="002A14CB">
      <w:pPr>
        <w:pStyle w:val="BodyText"/>
        <w:spacing w:line="251" w:lineRule="auto"/>
        <w:ind w:right="107"/>
        <w:rPr>
          <w:rFonts w:ascii="Aptos" w:hAnsi="Aptos"/>
          <w:sz w:val="24"/>
          <w:szCs w:val="24"/>
        </w:rPr>
      </w:pPr>
    </w:p>
    <w:sectPr w:rsidR="0077522B" w:rsidRPr="005C67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4CB"/>
    <w:rsid w:val="00085308"/>
    <w:rsid w:val="001C0EC7"/>
    <w:rsid w:val="00217DE9"/>
    <w:rsid w:val="002520F5"/>
    <w:rsid w:val="002A14CB"/>
    <w:rsid w:val="002E2EED"/>
    <w:rsid w:val="00302CC7"/>
    <w:rsid w:val="00331A56"/>
    <w:rsid w:val="00346591"/>
    <w:rsid w:val="00402739"/>
    <w:rsid w:val="004B2B02"/>
    <w:rsid w:val="005C4C53"/>
    <w:rsid w:val="005C6785"/>
    <w:rsid w:val="006B4A80"/>
    <w:rsid w:val="0077522B"/>
    <w:rsid w:val="007812B7"/>
    <w:rsid w:val="007D2AD6"/>
    <w:rsid w:val="007E775C"/>
    <w:rsid w:val="009474AB"/>
    <w:rsid w:val="00985B09"/>
    <w:rsid w:val="00992F99"/>
    <w:rsid w:val="009F7AAF"/>
    <w:rsid w:val="00A6442B"/>
    <w:rsid w:val="00AE0B24"/>
    <w:rsid w:val="00B22F38"/>
    <w:rsid w:val="00B423A3"/>
    <w:rsid w:val="00C15DE6"/>
    <w:rsid w:val="00C30735"/>
    <w:rsid w:val="00C36F5F"/>
    <w:rsid w:val="00C437CC"/>
    <w:rsid w:val="00C71C96"/>
    <w:rsid w:val="00D760F6"/>
    <w:rsid w:val="00E07D70"/>
    <w:rsid w:val="00F708A5"/>
    <w:rsid w:val="00FA0D74"/>
    <w:rsid w:val="00FB5172"/>
    <w:rsid w:val="00FC26DE"/>
    <w:rsid w:val="00FE3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0EA6"/>
  <w15:chartTrackingRefBased/>
  <w15:docId w15:val="{ECB908E3-7EF3-4F39-9DB3-583F7393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4CB"/>
    <w:rPr>
      <w:rFonts w:eastAsiaTheme="majorEastAsia" w:cstheme="majorBidi"/>
      <w:color w:val="272727" w:themeColor="text1" w:themeTint="D8"/>
    </w:rPr>
  </w:style>
  <w:style w:type="paragraph" w:styleId="Title">
    <w:name w:val="Title"/>
    <w:basedOn w:val="Normal"/>
    <w:next w:val="Normal"/>
    <w:link w:val="TitleChar"/>
    <w:uiPriority w:val="10"/>
    <w:qFormat/>
    <w:rsid w:val="002A1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4CB"/>
    <w:pPr>
      <w:spacing w:before="160"/>
      <w:jc w:val="center"/>
    </w:pPr>
    <w:rPr>
      <w:i/>
      <w:iCs/>
      <w:color w:val="404040" w:themeColor="text1" w:themeTint="BF"/>
    </w:rPr>
  </w:style>
  <w:style w:type="character" w:customStyle="1" w:styleId="QuoteChar">
    <w:name w:val="Quote Char"/>
    <w:basedOn w:val="DefaultParagraphFont"/>
    <w:link w:val="Quote"/>
    <w:uiPriority w:val="29"/>
    <w:rsid w:val="002A14CB"/>
    <w:rPr>
      <w:i/>
      <w:iCs/>
      <w:color w:val="404040" w:themeColor="text1" w:themeTint="BF"/>
    </w:rPr>
  </w:style>
  <w:style w:type="paragraph" w:styleId="ListParagraph">
    <w:name w:val="List Paragraph"/>
    <w:basedOn w:val="Normal"/>
    <w:uiPriority w:val="34"/>
    <w:qFormat/>
    <w:rsid w:val="002A14CB"/>
    <w:pPr>
      <w:ind w:left="720"/>
      <w:contextualSpacing/>
    </w:pPr>
  </w:style>
  <w:style w:type="character" w:styleId="IntenseEmphasis">
    <w:name w:val="Intense Emphasis"/>
    <w:basedOn w:val="DefaultParagraphFont"/>
    <w:uiPriority w:val="21"/>
    <w:qFormat/>
    <w:rsid w:val="002A14CB"/>
    <w:rPr>
      <w:i/>
      <w:iCs/>
      <w:color w:val="0F4761" w:themeColor="accent1" w:themeShade="BF"/>
    </w:rPr>
  </w:style>
  <w:style w:type="paragraph" w:styleId="IntenseQuote">
    <w:name w:val="Intense Quote"/>
    <w:basedOn w:val="Normal"/>
    <w:next w:val="Normal"/>
    <w:link w:val="IntenseQuoteChar"/>
    <w:uiPriority w:val="30"/>
    <w:qFormat/>
    <w:rsid w:val="002A1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4CB"/>
    <w:rPr>
      <w:i/>
      <w:iCs/>
      <w:color w:val="0F4761" w:themeColor="accent1" w:themeShade="BF"/>
    </w:rPr>
  </w:style>
  <w:style w:type="character" w:styleId="IntenseReference">
    <w:name w:val="Intense Reference"/>
    <w:basedOn w:val="DefaultParagraphFont"/>
    <w:uiPriority w:val="32"/>
    <w:qFormat/>
    <w:rsid w:val="002A14CB"/>
    <w:rPr>
      <w:b/>
      <w:bCs/>
      <w:smallCaps/>
      <w:color w:val="0F4761" w:themeColor="accent1" w:themeShade="BF"/>
      <w:spacing w:val="5"/>
    </w:rPr>
  </w:style>
  <w:style w:type="paragraph" w:styleId="BodyText">
    <w:name w:val="Body Text"/>
    <w:basedOn w:val="Normal"/>
    <w:link w:val="BodyTextChar"/>
    <w:uiPriority w:val="1"/>
    <w:qFormat/>
    <w:rsid w:val="002A14CB"/>
    <w:pPr>
      <w:widowControl w:val="0"/>
      <w:spacing w:after="0" w:line="240" w:lineRule="auto"/>
      <w:ind w:left="105"/>
    </w:pPr>
    <w:rPr>
      <w:rFonts w:ascii="Arial" w:eastAsia="Arial" w:hAnsi="Arial" w:cs="Times New Roman"/>
      <w:kern w:val="0"/>
      <w:sz w:val="21"/>
      <w:szCs w:val="21"/>
      <w14:ligatures w14:val="none"/>
    </w:rPr>
  </w:style>
  <w:style w:type="character" w:customStyle="1" w:styleId="BodyTextChar">
    <w:name w:val="Body Text Char"/>
    <w:basedOn w:val="DefaultParagraphFont"/>
    <w:link w:val="BodyText"/>
    <w:uiPriority w:val="1"/>
    <w:rsid w:val="002A14CB"/>
    <w:rPr>
      <w:rFonts w:ascii="Arial" w:eastAsia="Arial" w:hAnsi="Arial" w:cs="Times New Roman"/>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d5b36e7-01ee-4ebc-867e-e03cfa0d4697}" enabled="0" method="" siteId="{ed5b36e7-01ee-4ebc-867e-e03cfa0d4697}"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1197</Characters>
  <Application>Microsoft Office Word</Application>
  <DocSecurity>0</DocSecurity>
  <Lines>21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Tallury, Shyam - REE-ARS</dc:creator>
  <cp:keywords/>
  <dc:description/>
  <cp:lastModifiedBy>Tallury, Shyam - REE-ARS</cp:lastModifiedBy>
  <cp:revision>2</cp:revision>
  <dcterms:created xsi:type="dcterms:W3CDTF">2026-03-12T15:06:00Z</dcterms:created>
  <dcterms:modified xsi:type="dcterms:W3CDTF">2026-03-12T15:06:00Z</dcterms:modified>
</cp:coreProperties>
</file>