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DCD00" w14:textId="35D34649" w:rsidR="00093333" w:rsidRPr="0052752C" w:rsidRDefault="00962EF6" w:rsidP="00912AA7">
      <w:pPr>
        <w:tabs>
          <w:tab w:val="left" w:pos="450"/>
        </w:tabs>
        <w:rPr>
          <w:rFonts w:ascii="Aptos" w:hAnsi="Aptos" w:cs="Arial"/>
          <w:b/>
          <w:sz w:val="24"/>
          <w:szCs w:val="24"/>
        </w:rPr>
      </w:pPr>
      <w:r w:rsidRPr="0052752C">
        <w:rPr>
          <w:rFonts w:ascii="Aptos" w:hAnsi="Aptos" w:cs="Arial"/>
          <w:b/>
          <w:sz w:val="24"/>
          <w:szCs w:val="24"/>
        </w:rPr>
        <w:t xml:space="preserve">Development and </w:t>
      </w:r>
      <w:r w:rsidR="00471AC1">
        <w:rPr>
          <w:rFonts w:ascii="Aptos" w:hAnsi="Aptos" w:cs="Arial"/>
          <w:b/>
          <w:sz w:val="24"/>
          <w:szCs w:val="24"/>
        </w:rPr>
        <w:t>E</w:t>
      </w:r>
      <w:r w:rsidRPr="0052752C">
        <w:rPr>
          <w:rFonts w:ascii="Aptos" w:hAnsi="Aptos" w:cs="Arial"/>
          <w:b/>
          <w:sz w:val="24"/>
          <w:szCs w:val="24"/>
        </w:rPr>
        <w:t xml:space="preserve">valuation of </w:t>
      </w:r>
      <w:r w:rsidR="00471AC1">
        <w:rPr>
          <w:rFonts w:ascii="Aptos" w:hAnsi="Aptos" w:cs="Arial"/>
          <w:b/>
          <w:sz w:val="24"/>
          <w:szCs w:val="24"/>
        </w:rPr>
        <w:t>R</w:t>
      </w:r>
      <w:r w:rsidRPr="0052752C">
        <w:rPr>
          <w:rFonts w:ascii="Aptos" w:hAnsi="Aptos" w:cs="Arial"/>
          <w:b/>
          <w:sz w:val="24"/>
          <w:szCs w:val="24"/>
        </w:rPr>
        <w:t xml:space="preserve">unner </w:t>
      </w:r>
      <w:r w:rsidR="00471AC1">
        <w:rPr>
          <w:rFonts w:ascii="Aptos" w:hAnsi="Aptos" w:cs="Arial"/>
          <w:b/>
          <w:sz w:val="24"/>
          <w:szCs w:val="24"/>
        </w:rPr>
        <w:t>I</w:t>
      </w:r>
      <w:r w:rsidRPr="0052752C">
        <w:rPr>
          <w:rFonts w:ascii="Aptos" w:hAnsi="Aptos" w:cs="Arial"/>
          <w:b/>
          <w:sz w:val="24"/>
          <w:szCs w:val="24"/>
        </w:rPr>
        <w:t xml:space="preserve">ntrogression </w:t>
      </w:r>
      <w:r w:rsidR="00471AC1">
        <w:rPr>
          <w:rFonts w:ascii="Aptos" w:hAnsi="Aptos" w:cs="Arial"/>
          <w:b/>
          <w:sz w:val="24"/>
          <w:szCs w:val="24"/>
        </w:rPr>
        <w:t>P</w:t>
      </w:r>
      <w:r w:rsidRPr="0052752C">
        <w:rPr>
          <w:rFonts w:ascii="Aptos" w:hAnsi="Aptos" w:cs="Arial"/>
          <w:b/>
          <w:sz w:val="24"/>
          <w:szCs w:val="24"/>
        </w:rPr>
        <w:t xml:space="preserve">opulations for </w:t>
      </w:r>
      <w:r w:rsidR="00471AC1">
        <w:rPr>
          <w:rFonts w:ascii="Aptos" w:hAnsi="Aptos" w:cs="Arial"/>
          <w:b/>
          <w:sz w:val="24"/>
          <w:szCs w:val="24"/>
        </w:rPr>
        <w:t>H</w:t>
      </w:r>
      <w:r w:rsidRPr="0052752C">
        <w:rPr>
          <w:rFonts w:ascii="Aptos" w:hAnsi="Aptos" w:cs="Arial"/>
          <w:b/>
          <w:sz w:val="24"/>
          <w:szCs w:val="24"/>
        </w:rPr>
        <w:t xml:space="preserve">igh </w:t>
      </w:r>
      <w:r w:rsidR="00471AC1">
        <w:rPr>
          <w:rFonts w:ascii="Aptos" w:hAnsi="Aptos" w:cs="Arial"/>
          <w:b/>
          <w:sz w:val="24"/>
          <w:szCs w:val="24"/>
        </w:rPr>
        <w:t>O</w:t>
      </w:r>
      <w:r w:rsidRPr="0052752C">
        <w:rPr>
          <w:rFonts w:ascii="Aptos" w:hAnsi="Aptos" w:cs="Arial"/>
          <w:b/>
          <w:sz w:val="24"/>
          <w:szCs w:val="24"/>
        </w:rPr>
        <w:t xml:space="preserve">leic </w:t>
      </w:r>
      <w:r w:rsidR="00471AC1">
        <w:rPr>
          <w:rFonts w:ascii="Aptos" w:hAnsi="Aptos" w:cs="Arial"/>
          <w:b/>
          <w:sz w:val="24"/>
          <w:szCs w:val="24"/>
        </w:rPr>
        <w:t>O</w:t>
      </w:r>
      <w:r w:rsidRPr="0052752C">
        <w:rPr>
          <w:rFonts w:ascii="Aptos" w:hAnsi="Aptos" w:cs="Arial"/>
          <w:b/>
          <w:sz w:val="24"/>
          <w:szCs w:val="24"/>
        </w:rPr>
        <w:t xml:space="preserve">il </w:t>
      </w:r>
      <w:r w:rsidR="00471AC1">
        <w:rPr>
          <w:rFonts w:ascii="Aptos" w:hAnsi="Aptos" w:cs="Arial"/>
          <w:b/>
          <w:sz w:val="24"/>
          <w:szCs w:val="24"/>
        </w:rPr>
        <w:t>C</w:t>
      </w:r>
      <w:r w:rsidRPr="0052752C">
        <w:rPr>
          <w:rFonts w:ascii="Aptos" w:hAnsi="Aptos" w:cs="Arial"/>
          <w:b/>
          <w:sz w:val="24"/>
          <w:szCs w:val="24"/>
        </w:rPr>
        <w:t xml:space="preserve">ontent, </w:t>
      </w:r>
      <w:r w:rsidR="00471AC1">
        <w:rPr>
          <w:rFonts w:ascii="Aptos" w:hAnsi="Aptos" w:cs="Arial"/>
          <w:b/>
          <w:sz w:val="24"/>
          <w:szCs w:val="24"/>
        </w:rPr>
        <w:t>E</w:t>
      </w:r>
      <w:r w:rsidRPr="0052752C">
        <w:rPr>
          <w:rFonts w:ascii="Aptos" w:hAnsi="Aptos" w:cs="Arial"/>
          <w:b/>
          <w:sz w:val="24"/>
          <w:szCs w:val="24"/>
        </w:rPr>
        <w:t xml:space="preserve">arly </w:t>
      </w:r>
      <w:r w:rsidR="00471AC1">
        <w:rPr>
          <w:rFonts w:ascii="Aptos" w:hAnsi="Aptos" w:cs="Arial"/>
          <w:b/>
          <w:sz w:val="24"/>
          <w:szCs w:val="24"/>
        </w:rPr>
        <w:t>L</w:t>
      </w:r>
      <w:r w:rsidRPr="0052752C">
        <w:rPr>
          <w:rFonts w:ascii="Aptos" w:hAnsi="Aptos" w:cs="Arial"/>
          <w:b/>
          <w:sz w:val="24"/>
          <w:szCs w:val="24"/>
        </w:rPr>
        <w:t xml:space="preserve">eaf </w:t>
      </w:r>
      <w:r w:rsidR="00471AC1">
        <w:rPr>
          <w:rFonts w:ascii="Aptos" w:hAnsi="Aptos" w:cs="Arial"/>
          <w:b/>
          <w:sz w:val="24"/>
          <w:szCs w:val="24"/>
        </w:rPr>
        <w:t>S</w:t>
      </w:r>
      <w:r w:rsidRPr="0052752C">
        <w:rPr>
          <w:rFonts w:ascii="Aptos" w:hAnsi="Aptos" w:cs="Arial"/>
          <w:b/>
          <w:sz w:val="24"/>
          <w:szCs w:val="24"/>
        </w:rPr>
        <w:t xml:space="preserve">pot </w:t>
      </w:r>
      <w:r w:rsidR="00471AC1">
        <w:rPr>
          <w:rFonts w:ascii="Aptos" w:hAnsi="Aptos" w:cs="Arial"/>
          <w:b/>
          <w:sz w:val="24"/>
          <w:szCs w:val="24"/>
        </w:rPr>
        <w:t>R</w:t>
      </w:r>
      <w:r w:rsidRPr="0052752C">
        <w:rPr>
          <w:rFonts w:ascii="Aptos" w:hAnsi="Aptos" w:cs="Arial"/>
          <w:b/>
          <w:sz w:val="24"/>
          <w:szCs w:val="24"/>
        </w:rPr>
        <w:t xml:space="preserve">esistance, and </w:t>
      </w:r>
      <w:r w:rsidR="00471AC1">
        <w:rPr>
          <w:rFonts w:ascii="Aptos" w:hAnsi="Aptos" w:cs="Arial"/>
          <w:b/>
          <w:sz w:val="24"/>
          <w:szCs w:val="24"/>
        </w:rPr>
        <w:t>M</w:t>
      </w:r>
      <w:r w:rsidRPr="0052752C">
        <w:rPr>
          <w:rFonts w:ascii="Aptos" w:hAnsi="Aptos" w:cs="Arial"/>
          <w:b/>
          <w:sz w:val="24"/>
          <w:szCs w:val="24"/>
        </w:rPr>
        <w:t xml:space="preserve">arker </w:t>
      </w:r>
      <w:r w:rsidR="00471AC1">
        <w:rPr>
          <w:rFonts w:ascii="Aptos" w:hAnsi="Aptos" w:cs="Arial"/>
          <w:b/>
          <w:sz w:val="24"/>
          <w:szCs w:val="24"/>
        </w:rPr>
        <w:t>V</w:t>
      </w:r>
      <w:r w:rsidRPr="0052752C">
        <w:rPr>
          <w:rFonts w:ascii="Aptos" w:hAnsi="Aptos" w:cs="Arial"/>
          <w:b/>
          <w:sz w:val="24"/>
          <w:szCs w:val="24"/>
        </w:rPr>
        <w:t xml:space="preserve">alidation in </w:t>
      </w:r>
      <w:r w:rsidR="00471AC1">
        <w:rPr>
          <w:rFonts w:ascii="Aptos" w:hAnsi="Aptos" w:cs="Arial"/>
          <w:b/>
          <w:sz w:val="24"/>
          <w:szCs w:val="24"/>
        </w:rPr>
        <w:t>P</w:t>
      </w:r>
      <w:r w:rsidRPr="0052752C">
        <w:rPr>
          <w:rFonts w:ascii="Aptos" w:hAnsi="Aptos" w:cs="Arial"/>
          <w:b/>
          <w:sz w:val="24"/>
          <w:szCs w:val="24"/>
        </w:rPr>
        <w:t>eanut (</w:t>
      </w:r>
      <w:r w:rsidRPr="0052752C">
        <w:rPr>
          <w:rFonts w:ascii="Aptos" w:hAnsi="Aptos" w:cs="Arial"/>
          <w:b/>
          <w:i/>
          <w:iCs/>
          <w:sz w:val="24"/>
          <w:szCs w:val="24"/>
        </w:rPr>
        <w:t>Arachis hypogaea</w:t>
      </w:r>
      <w:r w:rsidRPr="0052752C">
        <w:rPr>
          <w:rFonts w:ascii="Aptos" w:hAnsi="Aptos" w:cs="Arial"/>
          <w:b/>
          <w:sz w:val="24"/>
          <w:szCs w:val="24"/>
        </w:rPr>
        <w:t xml:space="preserve"> L.)</w:t>
      </w:r>
    </w:p>
    <w:p w14:paraId="167AF6CD" w14:textId="387FCD4C" w:rsidR="0052752C" w:rsidRPr="0052752C" w:rsidRDefault="0052752C" w:rsidP="0052752C">
      <w:pPr>
        <w:spacing w:line="240" w:lineRule="auto"/>
        <w:rPr>
          <w:rFonts w:ascii="Aptos" w:hAnsi="Aptos" w:cs="Arial"/>
          <w:bCs/>
          <w:sz w:val="24"/>
          <w:szCs w:val="24"/>
        </w:rPr>
      </w:pPr>
      <w:r w:rsidRPr="0052752C">
        <w:rPr>
          <w:rFonts w:ascii="Aptos" w:hAnsi="Aptos" w:cs="Arial"/>
          <w:b/>
          <w:sz w:val="24"/>
          <w:szCs w:val="24"/>
        </w:rPr>
        <w:t>GAUS-BOWLING, T</w:t>
      </w:r>
      <w:r w:rsidRPr="0052752C">
        <w:rPr>
          <w:rFonts w:ascii="Aptos" w:hAnsi="Aptos" w:cs="Arial"/>
          <w:bCs/>
          <w:sz w:val="24"/>
          <w:szCs w:val="24"/>
        </w:rPr>
        <w:t>.</w:t>
      </w:r>
      <w:r w:rsidRPr="0052752C">
        <w:rPr>
          <w:rFonts w:ascii="Aptos" w:hAnsi="Aptos" w:cs="Arial"/>
          <w:bCs/>
          <w:sz w:val="24"/>
          <w:szCs w:val="24"/>
          <w:vertAlign w:val="superscript"/>
        </w:rPr>
        <w:t>1</w:t>
      </w:r>
      <w:r w:rsidRPr="0052752C">
        <w:rPr>
          <w:rFonts w:ascii="Aptos" w:hAnsi="Aptos" w:cs="Arial"/>
          <w:bCs/>
          <w:sz w:val="24"/>
          <w:szCs w:val="24"/>
        </w:rPr>
        <w:t xml:space="preserve">; </w:t>
      </w:r>
      <w:proofErr w:type="spellStart"/>
      <w:r w:rsidRPr="0052752C">
        <w:rPr>
          <w:rFonts w:ascii="Aptos" w:hAnsi="Aptos" w:cs="Arial"/>
          <w:bCs/>
          <w:sz w:val="24"/>
          <w:szCs w:val="24"/>
        </w:rPr>
        <w:t>Tengey</w:t>
      </w:r>
      <w:proofErr w:type="spellEnd"/>
      <w:r w:rsidRPr="0052752C">
        <w:rPr>
          <w:rFonts w:ascii="Aptos" w:hAnsi="Aptos" w:cs="Arial"/>
          <w:bCs/>
          <w:sz w:val="24"/>
          <w:szCs w:val="24"/>
        </w:rPr>
        <w:t>, T.</w:t>
      </w:r>
      <w:r w:rsidRPr="0052752C">
        <w:rPr>
          <w:rFonts w:ascii="Aptos" w:hAnsi="Aptos" w:cs="Arial"/>
          <w:bCs/>
          <w:sz w:val="24"/>
          <w:szCs w:val="24"/>
          <w:vertAlign w:val="superscript"/>
        </w:rPr>
        <w:t>2</w:t>
      </w:r>
      <w:r w:rsidRPr="0052752C">
        <w:rPr>
          <w:rFonts w:ascii="Aptos" w:hAnsi="Aptos" w:cs="Arial"/>
          <w:bCs/>
          <w:sz w:val="24"/>
          <w:szCs w:val="24"/>
        </w:rPr>
        <w:t>; Cason, J.</w:t>
      </w:r>
      <w:r w:rsidR="00A5281A">
        <w:rPr>
          <w:rFonts w:ascii="Aptos" w:hAnsi="Aptos" w:cs="Arial"/>
          <w:bCs/>
          <w:sz w:val="24"/>
          <w:szCs w:val="24"/>
          <w:vertAlign w:val="superscript"/>
        </w:rPr>
        <w:t>3</w:t>
      </w:r>
      <w:r w:rsidRPr="0052752C">
        <w:rPr>
          <w:rFonts w:ascii="Aptos" w:hAnsi="Aptos" w:cs="Arial"/>
          <w:bCs/>
          <w:sz w:val="24"/>
          <w:szCs w:val="24"/>
        </w:rPr>
        <w:t>; Simpson, C.</w:t>
      </w:r>
      <w:r w:rsidR="00A5281A">
        <w:rPr>
          <w:rFonts w:ascii="Aptos" w:hAnsi="Aptos" w:cs="Arial"/>
          <w:bCs/>
          <w:sz w:val="24"/>
          <w:szCs w:val="24"/>
          <w:vertAlign w:val="superscript"/>
        </w:rPr>
        <w:t>3</w:t>
      </w:r>
      <w:r w:rsidR="00A5281A">
        <w:rPr>
          <w:rFonts w:ascii="Aptos" w:hAnsi="Aptos" w:cs="Arial"/>
          <w:bCs/>
          <w:sz w:val="24"/>
          <w:szCs w:val="24"/>
        </w:rPr>
        <w:t>;</w:t>
      </w:r>
      <w:r w:rsidRPr="0052752C">
        <w:rPr>
          <w:rFonts w:ascii="Aptos" w:hAnsi="Aptos" w:cs="Arial"/>
          <w:bCs/>
          <w:sz w:val="24"/>
          <w:szCs w:val="24"/>
        </w:rPr>
        <w:t xml:space="preserve"> Burow, M.</w:t>
      </w:r>
      <w:r w:rsidR="00A5281A">
        <w:rPr>
          <w:rFonts w:ascii="Aptos" w:hAnsi="Aptos" w:cs="Arial"/>
          <w:bCs/>
          <w:sz w:val="24"/>
          <w:szCs w:val="24"/>
          <w:vertAlign w:val="superscript"/>
        </w:rPr>
        <w:t>4</w:t>
      </w:r>
    </w:p>
    <w:p w14:paraId="571FE1F4" w14:textId="7C006E26" w:rsidR="0052752C" w:rsidRPr="0052752C" w:rsidRDefault="0052752C" w:rsidP="0052752C">
      <w:pPr>
        <w:spacing w:line="240" w:lineRule="auto"/>
        <w:rPr>
          <w:rFonts w:ascii="Aptos" w:hAnsi="Aptos" w:cs="Arial"/>
          <w:bCs/>
          <w:sz w:val="24"/>
          <w:szCs w:val="24"/>
        </w:rPr>
      </w:pPr>
      <w:r w:rsidRPr="0052752C">
        <w:rPr>
          <w:rFonts w:ascii="Aptos" w:hAnsi="Aptos" w:cs="Arial"/>
          <w:sz w:val="24"/>
          <w:szCs w:val="24"/>
          <w:vertAlign w:val="superscript"/>
        </w:rPr>
        <w:t>1</w:t>
      </w:r>
      <w:r w:rsidRPr="0052752C">
        <w:rPr>
          <w:rFonts w:ascii="Aptos" w:hAnsi="Aptos" w:cs="Arial"/>
          <w:sz w:val="24"/>
          <w:szCs w:val="24"/>
        </w:rPr>
        <w:t xml:space="preserve">Biological Sciences, Amarillo College, Amarillo, TX 79178, and Texas Tech University, Dept. of Plant and Soil Science, Lubbock, TX 79409; </w:t>
      </w:r>
      <w:r w:rsidRPr="0052752C">
        <w:rPr>
          <w:rFonts w:ascii="Aptos" w:hAnsi="Aptos" w:cs="Arial"/>
          <w:sz w:val="24"/>
          <w:szCs w:val="24"/>
          <w:vertAlign w:val="superscript"/>
        </w:rPr>
        <w:t>2</w:t>
      </w:r>
      <w:r w:rsidRPr="0052752C">
        <w:rPr>
          <w:rFonts w:ascii="Aptos" w:hAnsi="Aptos" w:cs="Arial"/>
          <w:color w:val="000000"/>
          <w:sz w:val="24"/>
          <w:szCs w:val="24"/>
        </w:rPr>
        <w:t>Savan</w:t>
      </w:r>
      <w:r w:rsidR="00A3525A">
        <w:rPr>
          <w:rFonts w:ascii="Aptos" w:hAnsi="Aptos" w:cs="Arial"/>
          <w:color w:val="000000"/>
          <w:sz w:val="24"/>
          <w:szCs w:val="24"/>
        </w:rPr>
        <w:t>n</w:t>
      </w:r>
      <w:r w:rsidRPr="0052752C">
        <w:rPr>
          <w:rFonts w:ascii="Aptos" w:hAnsi="Aptos" w:cs="Arial"/>
          <w:color w:val="000000"/>
          <w:sz w:val="24"/>
          <w:szCs w:val="24"/>
        </w:rPr>
        <w:t>a Agricultural Research Institute, Ghana</w:t>
      </w:r>
      <w:r w:rsidRPr="0052752C">
        <w:rPr>
          <w:rFonts w:ascii="Aptos" w:hAnsi="Aptos" w:cs="Arial"/>
          <w:bCs/>
          <w:sz w:val="24"/>
          <w:szCs w:val="24"/>
        </w:rPr>
        <w:t>.</w:t>
      </w:r>
      <w:r w:rsidRPr="0052752C">
        <w:rPr>
          <w:rFonts w:ascii="Aptos" w:hAnsi="Aptos" w:cs="Arial"/>
          <w:sz w:val="24"/>
          <w:szCs w:val="24"/>
        </w:rPr>
        <w:t xml:space="preserve"> </w:t>
      </w:r>
      <w:r w:rsidR="00A5281A">
        <w:rPr>
          <w:rFonts w:ascii="Aptos" w:hAnsi="Aptos" w:cs="Arial"/>
          <w:bCs/>
          <w:sz w:val="24"/>
          <w:szCs w:val="24"/>
          <w:vertAlign w:val="superscript"/>
        </w:rPr>
        <w:t>3</w:t>
      </w:r>
      <w:r w:rsidRPr="0052752C">
        <w:rPr>
          <w:rFonts w:ascii="Aptos" w:hAnsi="Aptos" w:cs="Arial"/>
          <w:bCs/>
          <w:sz w:val="24"/>
          <w:szCs w:val="24"/>
        </w:rPr>
        <w:t xml:space="preserve">Texas A&amp;M AgriLife Research, Stephenville, TX 76401; </w:t>
      </w:r>
      <w:r w:rsidR="00A5281A">
        <w:rPr>
          <w:rFonts w:ascii="Aptos" w:hAnsi="Aptos" w:cs="Arial"/>
          <w:bCs/>
          <w:sz w:val="24"/>
          <w:szCs w:val="24"/>
          <w:vertAlign w:val="superscript"/>
        </w:rPr>
        <w:t>4</w:t>
      </w:r>
      <w:r w:rsidRPr="0052752C">
        <w:rPr>
          <w:rFonts w:ascii="Aptos" w:hAnsi="Aptos" w:cs="Arial"/>
          <w:bCs/>
          <w:sz w:val="24"/>
          <w:szCs w:val="24"/>
        </w:rPr>
        <w:t>Texas A&amp;M AgriLife Research, Lubbock, TX 79403, and Texas Tech University, Dept. of Plant and Soil Science, Lubbock, TX 79409.</w:t>
      </w:r>
    </w:p>
    <w:p w14:paraId="093F52A0" w14:textId="39FA73A0" w:rsidR="00900459" w:rsidRPr="0052752C" w:rsidRDefault="00900459" w:rsidP="00EE5FF5">
      <w:pPr>
        <w:pStyle w:val="BodyText"/>
        <w:spacing w:line="240" w:lineRule="auto"/>
        <w:ind w:firstLine="0"/>
        <w:rPr>
          <w:rFonts w:ascii="Aptos" w:hAnsi="Aptos" w:cs="Arial"/>
        </w:rPr>
      </w:pPr>
      <w:r w:rsidRPr="0052752C">
        <w:rPr>
          <w:rFonts w:ascii="Aptos" w:hAnsi="Aptos" w:cs="Arial"/>
        </w:rPr>
        <w:t>Peanut (</w:t>
      </w:r>
      <w:r w:rsidRPr="0052752C">
        <w:rPr>
          <w:rFonts w:ascii="Aptos" w:hAnsi="Aptos" w:cs="Arial"/>
          <w:i/>
          <w:iCs/>
        </w:rPr>
        <w:t>Arachis hypogaea</w:t>
      </w:r>
      <w:r w:rsidRPr="0052752C">
        <w:rPr>
          <w:rFonts w:ascii="Aptos" w:hAnsi="Aptos" w:cs="Arial"/>
        </w:rPr>
        <w:t xml:space="preserve"> L.) is cultivated in semiarid, tropical, and sub-tropical regions and serves as a major source of protein and oil worldwide. Foliar diseases, particularly early leaf spot (ELS) caused by </w:t>
      </w:r>
      <w:proofErr w:type="spellStart"/>
      <w:r w:rsidRPr="0052752C">
        <w:rPr>
          <w:rFonts w:ascii="Aptos" w:hAnsi="Aptos" w:cs="Arial"/>
          <w:i/>
          <w:iCs/>
        </w:rPr>
        <w:t>Passalora</w:t>
      </w:r>
      <w:proofErr w:type="spellEnd"/>
      <w:r w:rsidRPr="0052752C">
        <w:rPr>
          <w:rFonts w:ascii="Aptos" w:hAnsi="Aptos" w:cs="Arial"/>
          <w:i/>
          <w:iCs/>
        </w:rPr>
        <w:t xml:space="preserve"> </w:t>
      </w:r>
      <w:proofErr w:type="spellStart"/>
      <w:r w:rsidRPr="0052752C">
        <w:rPr>
          <w:rFonts w:ascii="Aptos" w:hAnsi="Aptos" w:cs="Arial"/>
          <w:i/>
          <w:iCs/>
        </w:rPr>
        <w:t>arachidicola</w:t>
      </w:r>
      <w:proofErr w:type="spellEnd"/>
      <w:r w:rsidRPr="0052752C">
        <w:rPr>
          <w:rFonts w:ascii="Aptos" w:hAnsi="Aptos" w:cs="Arial"/>
        </w:rPr>
        <w:t>, (formerly </w:t>
      </w:r>
      <w:proofErr w:type="spellStart"/>
      <w:r w:rsidRPr="0052752C">
        <w:rPr>
          <w:rFonts w:ascii="Aptos" w:hAnsi="Aptos" w:cs="Arial"/>
          <w:i/>
          <w:iCs/>
        </w:rPr>
        <w:t>Cercospora</w:t>
      </w:r>
      <w:proofErr w:type="spellEnd"/>
      <w:r w:rsidRPr="0052752C">
        <w:rPr>
          <w:rFonts w:ascii="Aptos" w:hAnsi="Aptos" w:cs="Arial"/>
          <w:i/>
          <w:iCs/>
        </w:rPr>
        <w:t xml:space="preserve"> </w:t>
      </w:r>
      <w:proofErr w:type="spellStart"/>
      <w:r w:rsidRPr="0052752C">
        <w:rPr>
          <w:rFonts w:ascii="Aptos" w:hAnsi="Aptos" w:cs="Arial"/>
          <w:i/>
          <w:iCs/>
        </w:rPr>
        <w:t>arachidicola</w:t>
      </w:r>
      <w:proofErr w:type="spellEnd"/>
      <w:r w:rsidRPr="0052752C">
        <w:rPr>
          <w:rFonts w:ascii="Aptos" w:hAnsi="Aptos" w:cs="Arial"/>
        </w:rPr>
        <w:t> S. Hori) significantly reduce yield and increase production costs. Under favorable environmental conditions, these diseases can result in severe defoliation and yield loss.</w:t>
      </w:r>
      <w:r w:rsidR="008144F2" w:rsidRPr="0052752C">
        <w:rPr>
          <w:rFonts w:ascii="Aptos" w:hAnsi="Aptos" w:cs="Arial"/>
        </w:rPr>
        <w:t xml:space="preserve"> </w:t>
      </w:r>
      <w:r w:rsidRPr="0052752C">
        <w:rPr>
          <w:rFonts w:ascii="Aptos" w:hAnsi="Aptos" w:cs="Arial"/>
        </w:rPr>
        <w:t>Runner-type introgression populations were developed to combine high oleic oil content with resistance to ELS. Crosses were made between two leaf spot-resistant BC</w:t>
      </w:r>
      <w:r w:rsidRPr="0052752C">
        <w:rPr>
          <w:rFonts w:ascii="Aptos" w:hAnsi="Aptos" w:cs="Cambria Math"/>
        </w:rPr>
        <w:t>₃</w:t>
      </w:r>
      <w:r w:rsidRPr="0052752C">
        <w:rPr>
          <w:rFonts w:ascii="Aptos" w:hAnsi="Aptos" w:cs="Arial"/>
        </w:rPr>
        <w:t>F</w:t>
      </w:r>
      <w:r w:rsidRPr="0052752C">
        <w:rPr>
          <w:rFonts w:ascii="Aptos" w:hAnsi="Aptos" w:cs="Cambria Math"/>
        </w:rPr>
        <w:t>₈</w:t>
      </w:r>
      <w:r w:rsidRPr="0052752C">
        <w:rPr>
          <w:rFonts w:ascii="Aptos" w:hAnsi="Aptos" w:cs="Arial"/>
        </w:rPr>
        <w:t xml:space="preserve"> introgression lines derived from the TxAG-6 × </w:t>
      </w:r>
      <w:proofErr w:type="spellStart"/>
      <w:r w:rsidRPr="0052752C">
        <w:rPr>
          <w:rFonts w:ascii="Aptos" w:hAnsi="Aptos" w:cs="Arial"/>
          <w:i/>
          <w:iCs/>
        </w:rPr>
        <w:t>Florunner</w:t>
      </w:r>
      <w:proofErr w:type="spellEnd"/>
      <w:r w:rsidRPr="0052752C">
        <w:rPr>
          <w:rFonts w:ascii="Aptos" w:hAnsi="Aptos" w:cs="Arial"/>
        </w:rPr>
        <w:t xml:space="preserve"> population and two early-maturing, high oleic runner cultivars (</w:t>
      </w:r>
      <w:proofErr w:type="spellStart"/>
      <w:r w:rsidRPr="0052752C">
        <w:rPr>
          <w:rFonts w:ascii="Aptos" w:hAnsi="Aptos" w:cs="Arial"/>
        </w:rPr>
        <w:t>Tamrun</w:t>
      </w:r>
      <w:proofErr w:type="spellEnd"/>
      <w:r w:rsidRPr="0052752C">
        <w:rPr>
          <w:rFonts w:ascii="Aptos" w:hAnsi="Aptos" w:cs="Arial"/>
        </w:rPr>
        <w:t xml:space="preserve"> OL18L and OL19). Hybridity was confirmed using </w:t>
      </w:r>
      <w:proofErr w:type="spellStart"/>
      <w:r w:rsidRPr="0052752C">
        <w:rPr>
          <w:rFonts w:ascii="Aptos" w:hAnsi="Aptos" w:cs="Arial"/>
        </w:rPr>
        <w:t>Kompetitive</w:t>
      </w:r>
      <w:proofErr w:type="spellEnd"/>
      <w:r w:rsidRPr="0052752C">
        <w:rPr>
          <w:rFonts w:ascii="Aptos" w:hAnsi="Aptos" w:cs="Arial"/>
        </w:rPr>
        <w:t xml:space="preserve"> Allele-Specific PCR (KASP) markers targeting the high oleic trait.</w:t>
      </w:r>
      <w:r w:rsidR="008144F2" w:rsidRPr="0052752C">
        <w:rPr>
          <w:rFonts w:ascii="Aptos" w:hAnsi="Aptos" w:cs="Arial"/>
        </w:rPr>
        <w:t xml:space="preserve"> </w:t>
      </w:r>
      <w:r w:rsidRPr="0052752C">
        <w:rPr>
          <w:rFonts w:ascii="Aptos" w:hAnsi="Aptos" w:cs="Arial"/>
        </w:rPr>
        <w:t xml:space="preserve">Field evaluations in Yoakum, TX identified significant variation among breeding lines for ELS response. In 2022, genotype means ranged from 1.0 to 4.33 on the Florida 1–10 scale. In 2025, area under the disease progress curve (AUDPC) ranged from 56.7 to 126.1 with highly significant genotype effects (p &lt; 0.001). The most resistant progeny lines approached the resistance level of the parental check, demonstrating successful introgression of resistance alleles from wild </w:t>
      </w:r>
      <w:r w:rsidRPr="0052752C">
        <w:rPr>
          <w:rFonts w:ascii="Aptos" w:hAnsi="Aptos" w:cs="Arial"/>
          <w:i/>
          <w:iCs/>
        </w:rPr>
        <w:t>Arachis</w:t>
      </w:r>
      <w:r w:rsidRPr="0052752C">
        <w:rPr>
          <w:rFonts w:ascii="Aptos" w:hAnsi="Aptos" w:cs="Arial"/>
        </w:rPr>
        <w:t xml:space="preserve"> species.</w:t>
      </w:r>
      <w:r w:rsidR="008144F2" w:rsidRPr="0052752C">
        <w:rPr>
          <w:rFonts w:ascii="Aptos" w:hAnsi="Aptos" w:cs="Arial"/>
        </w:rPr>
        <w:t xml:space="preserve"> Seven SNPs</w:t>
      </w:r>
      <w:r w:rsidRPr="0052752C">
        <w:rPr>
          <w:rFonts w:ascii="Aptos" w:hAnsi="Aptos" w:cs="Arial"/>
        </w:rPr>
        <w:t xml:space="preserve"> previously </w:t>
      </w:r>
      <w:r w:rsidR="008144F2" w:rsidRPr="0052752C">
        <w:rPr>
          <w:rFonts w:ascii="Aptos" w:hAnsi="Aptos" w:cs="Arial"/>
        </w:rPr>
        <w:t>identified as QTLs for ELS resistance were tested,</w:t>
      </w:r>
      <w:r w:rsidRPr="0052752C">
        <w:rPr>
          <w:rFonts w:ascii="Aptos" w:hAnsi="Aptos" w:cs="Arial"/>
        </w:rPr>
        <w:t xml:space="preserve"> </w:t>
      </w:r>
      <w:r w:rsidR="008144F2" w:rsidRPr="0052752C">
        <w:rPr>
          <w:rFonts w:ascii="Aptos" w:hAnsi="Aptos" w:cs="Arial"/>
        </w:rPr>
        <w:t xml:space="preserve">and </w:t>
      </w:r>
      <w:r w:rsidRPr="0052752C">
        <w:rPr>
          <w:rFonts w:ascii="Aptos" w:hAnsi="Aptos" w:cs="Arial"/>
        </w:rPr>
        <w:t>lines carrying resistance-associated alleles at C06_c70190 had lower ELS ratings, reduced BLUE values, and decreased AUDPC across environments.</w:t>
      </w:r>
      <w:r w:rsidR="008144F2" w:rsidRPr="0052752C">
        <w:rPr>
          <w:rFonts w:ascii="Aptos" w:hAnsi="Aptos" w:cs="Arial"/>
        </w:rPr>
        <w:t xml:space="preserve"> </w:t>
      </w:r>
      <w:r w:rsidRPr="0052752C">
        <w:rPr>
          <w:rFonts w:ascii="Aptos" w:hAnsi="Aptos" w:cs="Arial"/>
        </w:rPr>
        <w:t>These results demonstrate the development of high oleic introgression lines with improved ELS resistance and support the use of validated molecular markers to accelerate disease resistance breeding in peanut.</w:t>
      </w:r>
    </w:p>
    <w:p w14:paraId="7EF57998" w14:textId="1139622B" w:rsidR="00327A5F" w:rsidRPr="0052752C" w:rsidRDefault="00327A5F" w:rsidP="00EE5FF5">
      <w:pPr>
        <w:pStyle w:val="BodyText"/>
        <w:spacing w:line="240" w:lineRule="auto"/>
        <w:ind w:firstLine="0"/>
        <w:rPr>
          <w:rFonts w:ascii="Aptos" w:hAnsi="Aptos" w:cs="Arial"/>
        </w:rPr>
      </w:pPr>
    </w:p>
    <w:sectPr w:rsidR="00327A5F" w:rsidRPr="00527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A5F"/>
    <w:rsid w:val="000626E3"/>
    <w:rsid w:val="00072BA0"/>
    <w:rsid w:val="00093333"/>
    <w:rsid w:val="00097849"/>
    <w:rsid w:val="001A7983"/>
    <w:rsid w:val="002221D5"/>
    <w:rsid w:val="0027704D"/>
    <w:rsid w:val="002B6CC8"/>
    <w:rsid w:val="00306E46"/>
    <w:rsid w:val="003213EB"/>
    <w:rsid w:val="00327A5F"/>
    <w:rsid w:val="00471AC1"/>
    <w:rsid w:val="004A029C"/>
    <w:rsid w:val="004B61DC"/>
    <w:rsid w:val="004C47B1"/>
    <w:rsid w:val="0052752C"/>
    <w:rsid w:val="005378EE"/>
    <w:rsid w:val="005A45DA"/>
    <w:rsid w:val="00604560"/>
    <w:rsid w:val="00642744"/>
    <w:rsid w:val="007F06CA"/>
    <w:rsid w:val="008144F2"/>
    <w:rsid w:val="00853AC6"/>
    <w:rsid w:val="00884024"/>
    <w:rsid w:val="00900459"/>
    <w:rsid w:val="00912AA7"/>
    <w:rsid w:val="00957D50"/>
    <w:rsid w:val="00962EF6"/>
    <w:rsid w:val="009F1DAA"/>
    <w:rsid w:val="00A3525A"/>
    <w:rsid w:val="00A5281A"/>
    <w:rsid w:val="00AF72A3"/>
    <w:rsid w:val="00B56659"/>
    <w:rsid w:val="00C43318"/>
    <w:rsid w:val="00C54682"/>
    <w:rsid w:val="00CC1B54"/>
    <w:rsid w:val="00D367D2"/>
    <w:rsid w:val="00D70742"/>
    <w:rsid w:val="00D84C2F"/>
    <w:rsid w:val="00DB1898"/>
    <w:rsid w:val="00DF2583"/>
    <w:rsid w:val="00E9288E"/>
    <w:rsid w:val="00EC0A48"/>
    <w:rsid w:val="00EE5FF5"/>
    <w:rsid w:val="00F70063"/>
    <w:rsid w:val="00FA763A"/>
    <w:rsid w:val="00FA77C0"/>
    <w:rsid w:val="00FB2D41"/>
    <w:rsid w:val="00FC7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DB489"/>
  <w15:chartTrackingRefBased/>
  <w15:docId w15:val="{86AAD6CA-0960-4BF8-87B8-3A615B951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7A5F"/>
    <w:pPr>
      <w:spacing w:after="120" w:line="360" w:lineRule="auto"/>
      <w:ind w:firstLine="72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27A5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12A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A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70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67A25-DEA7-410D-8AD0-EAFF763A3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336</Words>
  <Characters>2060</Characters>
  <Application>Microsoft Office Word</Application>
  <DocSecurity>0</DocSecurity>
  <Lines>30</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 Gaus-Bowling</dc:creator>
  <cp:keywords/>
  <dc:description/>
  <cp:lastModifiedBy>Teresa A. Gaus-Bowling</cp:lastModifiedBy>
  <cp:revision>6</cp:revision>
  <dcterms:created xsi:type="dcterms:W3CDTF">2026-03-27T15:33:00Z</dcterms:created>
  <dcterms:modified xsi:type="dcterms:W3CDTF">2026-03-31T01:35:00Z</dcterms:modified>
</cp:coreProperties>
</file>