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95BAF" w14:textId="333E0517" w:rsidR="000D696C" w:rsidRPr="001837DF" w:rsidRDefault="00524770" w:rsidP="000D696C">
      <w:pPr>
        <w:spacing w:line="240" w:lineRule="auto"/>
        <w:jc w:val="left"/>
        <w:rPr>
          <w:rFonts w:asciiTheme="minorHAnsi" w:hAnsiTheme="minorHAnsi" w:cs="Arial"/>
          <w:b/>
          <w:sz w:val="24"/>
          <w:szCs w:val="24"/>
        </w:rPr>
      </w:pPr>
      <w:r w:rsidRPr="001837DF">
        <w:rPr>
          <w:rFonts w:asciiTheme="minorHAnsi" w:hAnsiTheme="minorHAnsi" w:cs="Arial"/>
          <w:b/>
          <w:sz w:val="24"/>
          <w:szCs w:val="24"/>
        </w:rPr>
        <w:t xml:space="preserve">Automated Estimation of Tomato Spotted Wilt Virus Incidence in Breeding </w:t>
      </w:r>
      <w:r w:rsidR="009F12B0" w:rsidRPr="001837DF">
        <w:rPr>
          <w:rFonts w:asciiTheme="minorHAnsi" w:hAnsiTheme="minorHAnsi" w:cs="Arial"/>
          <w:b/>
          <w:sz w:val="24"/>
          <w:szCs w:val="24"/>
        </w:rPr>
        <w:t xml:space="preserve">Trials </w:t>
      </w:r>
      <w:r w:rsidRPr="001837DF">
        <w:rPr>
          <w:rFonts w:asciiTheme="minorHAnsi" w:hAnsiTheme="minorHAnsi" w:cs="Arial"/>
          <w:b/>
          <w:sz w:val="24"/>
          <w:szCs w:val="24"/>
        </w:rPr>
        <w:t>Using Ground-Based RGB Imaging and Deep Learning</w:t>
      </w:r>
    </w:p>
    <w:p w14:paraId="3C4E6CEF" w14:textId="77777777" w:rsidR="000D696C" w:rsidRDefault="006F3E4A" w:rsidP="000D696C">
      <w:pPr>
        <w:spacing w:after="120" w:line="240" w:lineRule="auto"/>
        <w:jc w:val="left"/>
        <w:rPr>
          <w:rFonts w:asciiTheme="minorHAnsi" w:hAnsiTheme="minorHAnsi" w:cs="Arial"/>
          <w:bCs/>
          <w:sz w:val="24"/>
          <w:szCs w:val="24"/>
          <w:vertAlign w:val="superscript"/>
        </w:rPr>
      </w:pPr>
      <w:r w:rsidRPr="000D696C">
        <w:rPr>
          <w:rFonts w:asciiTheme="minorHAnsi" w:hAnsiTheme="minorHAnsi" w:cs="Arial"/>
          <w:b/>
          <w:sz w:val="24"/>
          <w:szCs w:val="24"/>
        </w:rPr>
        <w:t>RODRIGUEZ-SANCHEZ</w:t>
      </w:r>
      <w:r w:rsidR="00E02E64" w:rsidRPr="000D696C">
        <w:rPr>
          <w:rFonts w:asciiTheme="minorHAnsi" w:hAnsiTheme="minorHAnsi" w:cs="Arial"/>
          <w:b/>
          <w:sz w:val="24"/>
          <w:szCs w:val="24"/>
        </w:rPr>
        <w:t>, J.</w:t>
      </w:r>
      <w:r w:rsidR="000D696C">
        <w:rPr>
          <w:rFonts w:asciiTheme="minorHAnsi" w:hAnsiTheme="minorHAnsi" w:cs="Arial"/>
          <w:b/>
          <w:sz w:val="24"/>
          <w:szCs w:val="24"/>
          <w:vertAlign w:val="superscript"/>
        </w:rPr>
        <w:t>1,2</w:t>
      </w:r>
      <w:r w:rsidRPr="000D696C">
        <w:rPr>
          <w:rFonts w:asciiTheme="minorHAnsi" w:hAnsiTheme="minorHAnsi" w:cs="Arial"/>
          <w:bCs/>
          <w:sz w:val="24"/>
          <w:szCs w:val="24"/>
        </w:rPr>
        <w:t>,</w:t>
      </w:r>
      <w:r w:rsidR="004B7A30" w:rsidRPr="000D696C">
        <w:rPr>
          <w:rFonts w:asciiTheme="minorHAnsi" w:hAnsiTheme="minorHAnsi" w:cs="Arial"/>
          <w:bCs/>
          <w:sz w:val="24"/>
          <w:szCs w:val="24"/>
        </w:rPr>
        <w:t xml:space="preserve"> B</w:t>
      </w:r>
      <w:r w:rsidR="000D696C">
        <w:rPr>
          <w:rFonts w:asciiTheme="minorHAnsi" w:hAnsiTheme="minorHAnsi" w:cs="Arial"/>
          <w:bCs/>
          <w:sz w:val="24"/>
          <w:szCs w:val="24"/>
        </w:rPr>
        <w:t>rown</w:t>
      </w:r>
      <w:r w:rsidR="00E02E64" w:rsidRPr="000D696C">
        <w:rPr>
          <w:rFonts w:asciiTheme="minorHAnsi" w:hAnsiTheme="minorHAnsi" w:cs="Arial"/>
          <w:bCs/>
          <w:sz w:val="24"/>
          <w:szCs w:val="24"/>
        </w:rPr>
        <w:t>, N.</w:t>
      </w:r>
      <w:r w:rsidR="000D696C" w:rsidRPr="000D696C">
        <w:rPr>
          <w:rFonts w:asciiTheme="minorHAnsi" w:hAnsiTheme="minorHAnsi" w:cs="Arial"/>
          <w:bCs/>
          <w:sz w:val="24"/>
          <w:szCs w:val="24"/>
          <w:vertAlign w:val="superscript"/>
        </w:rPr>
        <w:t>1</w:t>
      </w:r>
      <w:r w:rsidR="000D696C">
        <w:rPr>
          <w:rFonts w:asciiTheme="minorHAnsi" w:hAnsiTheme="minorHAnsi" w:cs="Arial"/>
          <w:bCs/>
          <w:sz w:val="24"/>
          <w:szCs w:val="24"/>
          <w:vertAlign w:val="superscript"/>
        </w:rPr>
        <w:t>,2</w:t>
      </w:r>
      <w:r w:rsidR="004B7A30" w:rsidRPr="000D696C">
        <w:rPr>
          <w:rFonts w:asciiTheme="minorHAnsi" w:hAnsiTheme="minorHAnsi" w:cs="Arial"/>
          <w:bCs/>
          <w:sz w:val="24"/>
          <w:szCs w:val="24"/>
        </w:rPr>
        <w:t xml:space="preserve">, </w:t>
      </w:r>
      <w:r w:rsidR="00E02E64" w:rsidRPr="000D696C">
        <w:rPr>
          <w:rFonts w:asciiTheme="minorHAnsi" w:hAnsiTheme="minorHAnsi" w:cs="Arial"/>
          <w:bCs/>
          <w:sz w:val="24"/>
          <w:szCs w:val="24"/>
        </w:rPr>
        <w:t>P</w:t>
      </w:r>
      <w:r w:rsidR="000D696C">
        <w:rPr>
          <w:rFonts w:asciiTheme="minorHAnsi" w:hAnsiTheme="minorHAnsi" w:cs="Arial"/>
          <w:bCs/>
          <w:sz w:val="24"/>
          <w:szCs w:val="24"/>
        </w:rPr>
        <w:t>arkash</w:t>
      </w:r>
      <w:r w:rsidR="00E02E64" w:rsidRPr="000D696C">
        <w:rPr>
          <w:rFonts w:asciiTheme="minorHAnsi" w:hAnsiTheme="minorHAnsi" w:cs="Arial"/>
          <w:bCs/>
          <w:sz w:val="24"/>
          <w:szCs w:val="24"/>
        </w:rPr>
        <w:t>, V.</w:t>
      </w:r>
      <w:r w:rsidR="000D696C" w:rsidRPr="000D696C">
        <w:rPr>
          <w:rFonts w:asciiTheme="minorHAnsi" w:hAnsiTheme="minorHAnsi" w:cs="Arial"/>
          <w:bCs/>
          <w:sz w:val="24"/>
          <w:szCs w:val="24"/>
          <w:vertAlign w:val="superscript"/>
        </w:rPr>
        <w:t>1</w:t>
      </w:r>
      <w:r w:rsidR="000D696C">
        <w:rPr>
          <w:rFonts w:asciiTheme="minorHAnsi" w:hAnsiTheme="minorHAnsi" w:cs="Arial"/>
          <w:bCs/>
          <w:sz w:val="24"/>
          <w:szCs w:val="24"/>
          <w:vertAlign w:val="superscript"/>
        </w:rPr>
        <w:t>,2</w:t>
      </w:r>
      <w:r w:rsidR="004B7A30" w:rsidRPr="000D696C">
        <w:rPr>
          <w:rFonts w:asciiTheme="minorHAnsi" w:hAnsiTheme="minorHAnsi" w:cs="Arial"/>
          <w:bCs/>
          <w:sz w:val="24"/>
          <w:szCs w:val="24"/>
        </w:rPr>
        <w:t>,</w:t>
      </w:r>
      <w:r w:rsidR="000305F0" w:rsidRPr="000D696C">
        <w:rPr>
          <w:rFonts w:asciiTheme="minorHAnsi" w:hAnsiTheme="minorHAnsi" w:cs="Arial"/>
          <w:bCs/>
          <w:sz w:val="24"/>
          <w:szCs w:val="24"/>
        </w:rPr>
        <w:t xml:space="preserve"> </w:t>
      </w:r>
      <w:r w:rsidR="00E02E64" w:rsidRPr="000D696C">
        <w:rPr>
          <w:rFonts w:asciiTheme="minorHAnsi" w:hAnsiTheme="minorHAnsi" w:cs="Arial"/>
          <w:bCs/>
          <w:sz w:val="24"/>
          <w:szCs w:val="24"/>
        </w:rPr>
        <w:t>S</w:t>
      </w:r>
      <w:r w:rsidR="000D696C">
        <w:rPr>
          <w:rFonts w:asciiTheme="minorHAnsi" w:hAnsiTheme="minorHAnsi" w:cs="Arial"/>
          <w:bCs/>
          <w:sz w:val="24"/>
          <w:szCs w:val="24"/>
        </w:rPr>
        <w:t>chwartz</w:t>
      </w:r>
      <w:r w:rsidR="00E02E64" w:rsidRPr="000D696C">
        <w:rPr>
          <w:rFonts w:asciiTheme="minorHAnsi" w:hAnsiTheme="minorHAnsi" w:cs="Arial"/>
          <w:bCs/>
          <w:sz w:val="24"/>
          <w:szCs w:val="24"/>
        </w:rPr>
        <w:t xml:space="preserve">, </w:t>
      </w:r>
      <w:r w:rsidR="004B7A30" w:rsidRPr="000D696C">
        <w:rPr>
          <w:rFonts w:asciiTheme="minorHAnsi" w:hAnsiTheme="minorHAnsi" w:cs="Arial"/>
          <w:bCs/>
          <w:sz w:val="24"/>
          <w:szCs w:val="24"/>
        </w:rPr>
        <w:t>B.</w:t>
      </w:r>
      <w:r w:rsidR="000D696C" w:rsidRPr="000D696C">
        <w:rPr>
          <w:rFonts w:asciiTheme="minorHAnsi" w:hAnsiTheme="minorHAnsi" w:cs="Arial"/>
          <w:bCs/>
          <w:sz w:val="24"/>
          <w:szCs w:val="24"/>
          <w:vertAlign w:val="superscript"/>
        </w:rPr>
        <w:t>1</w:t>
      </w:r>
      <w:r w:rsidR="000D696C">
        <w:rPr>
          <w:rFonts w:asciiTheme="minorHAnsi" w:hAnsiTheme="minorHAnsi" w:cs="Arial"/>
          <w:bCs/>
          <w:sz w:val="24"/>
          <w:szCs w:val="24"/>
          <w:vertAlign w:val="superscript"/>
        </w:rPr>
        <w:t>,2</w:t>
      </w:r>
      <w:r w:rsidR="004B7A30" w:rsidRPr="000D696C">
        <w:rPr>
          <w:rFonts w:asciiTheme="minorHAnsi" w:hAnsiTheme="minorHAnsi" w:cs="Arial"/>
          <w:bCs/>
          <w:sz w:val="24"/>
          <w:szCs w:val="24"/>
        </w:rPr>
        <w:t>,</w:t>
      </w:r>
      <w:r w:rsidR="00AF4321" w:rsidRPr="000D696C">
        <w:rPr>
          <w:rFonts w:asciiTheme="minorHAnsi" w:hAnsiTheme="minorHAnsi" w:cs="Arial"/>
          <w:bCs/>
          <w:sz w:val="24"/>
          <w:szCs w:val="24"/>
        </w:rPr>
        <w:t xml:space="preserve"> </w:t>
      </w:r>
      <w:r w:rsidR="000305F0" w:rsidRPr="000D696C">
        <w:rPr>
          <w:rFonts w:asciiTheme="minorHAnsi" w:hAnsiTheme="minorHAnsi" w:cs="Arial"/>
          <w:bCs/>
          <w:sz w:val="24"/>
          <w:szCs w:val="24"/>
        </w:rPr>
        <w:t>B</w:t>
      </w:r>
      <w:r w:rsidR="000D696C">
        <w:rPr>
          <w:rFonts w:asciiTheme="minorHAnsi" w:hAnsiTheme="minorHAnsi" w:cs="Arial"/>
          <w:bCs/>
          <w:sz w:val="24"/>
          <w:szCs w:val="24"/>
        </w:rPr>
        <w:t>ag,</w:t>
      </w:r>
      <w:r w:rsidR="000305F0" w:rsidRPr="000D696C">
        <w:rPr>
          <w:rFonts w:asciiTheme="minorHAnsi" w:hAnsiTheme="minorHAnsi" w:cs="Arial"/>
          <w:bCs/>
          <w:sz w:val="24"/>
          <w:szCs w:val="24"/>
        </w:rPr>
        <w:t xml:space="preserve"> S</w:t>
      </w:r>
      <w:r w:rsidR="000D696C">
        <w:rPr>
          <w:rFonts w:asciiTheme="minorHAnsi" w:hAnsiTheme="minorHAnsi" w:cs="Arial"/>
          <w:bCs/>
          <w:sz w:val="24"/>
          <w:szCs w:val="24"/>
        </w:rPr>
        <w:t>.</w:t>
      </w:r>
      <w:r w:rsidR="000D696C">
        <w:rPr>
          <w:rFonts w:asciiTheme="minorHAnsi" w:hAnsiTheme="minorHAnsi" w:cs="Arial"/>
          <w:bCs/>
          <w:sz w:val="24"/>
          <w:szCs w:val="24"/>
          <w:vertAlign w:val="superscript"/>
        </w:rPr>
        <w:t>3</w:t>
      </w:r>
    </w:p>
    <w:p w14:paraId="43E54023" w14:textId="4CDA65BE" w:rsidR="000D696C" w:rsidRPr="000D696C" w:rsidRDefault="000D696C" w:rsidP="000D696C">
      <w:pPr>
        <w:spacing w:after="120" w:line="240" w:lineRule="auto"/>
        <w:jc w:val="left"/>
        <w:rPr>
          <w:rFonts w:asciiTheme="minorHAnsi" w:hAnsiTheme="minorHAnsi" w:cs="Arial"/>
          <w:bCs/>
          <w:sz w:val="24"/>
          <w:szCs w:val="24"/>
        </w:rPr>
      </w:pPr>
      <w:r w:rsidRPr="000D696C">
        <w:rPr>
          <w:rFonts w:asciiTheme="minorHAnsi" w:hAnsiTheme="minorHAnsi" w:cs="Arial"/>
          <w:bCs/>
          <w:sz w:val="24"/>
          <w:szCs w:val="24"/>
          <w:vertAlign w:val="superscript"/>
        </w:rPr>
        <w:t>1</w:t>
      </w:r>
      <w:r w:rsidRPr="000D696C">
        <w:rPr>
          <w:rFonts w:asciiTheme="minorHAnsi" w:hAnsiTheme="minorHAnsi" w:cs="Arial"/>
          <w:bCs/>
          <w:sz w:val="24"/>
          <w:szCs w:val="24"/>
        </w:rPr>
        <w:t>Institute of Plant Breeding Genetics and Genomics, University of Georgia, Tifton, GA</w:t>
      </w:r>
      <w:r>
        <w:rPr>
          <w:rFonts w:asciiTheme="minorHAnsi" w:hAnsiTheme="minorHAnsi" w:cs="Arial"/>
          <w:bCs/>
          <w:sz w:val="24"/>
          <w:szCs w:val="24"/>
        </w:rPr>
        <w:t xml:space="preserve">. </w:t>
      </w:r>
      <w:r>
        <w:rPr>
          <w:rFonts w:asciiTheme="minorHAnsi" w:hAnsiTheme="minorHAnsi" w:cs="Arial"/>
          <w:bCs/>
          <w:sz w:val="24"/>
          <w:szCs w:val="24"/>
          <w:vertAlign w:val="superscript"/>
        </w:rPr>
        <w:t>2</w:t>
      </w:r>
      <w:r w:rsidRPr="000D696C">
        <w:rPr>
          <w:rFonts w:asciiTheme="minorHAnsi" w:hAnsiTheme="minorHAnsi" w:cs="Arial"/>
          <w:bCs/>
          <w:sz w:val="24"/>
          <w:szCs w:val="24"/>
        </w:rPr>
        <w:t xml:space="preserve">Department of Crop </w:t>
      </w:r>
      <w:r>
        <w:rPr>
          <w:rFonts w:asciiTheme="minorHAnsi" w:hAnsiTheme="minorHAnsi" w:cs="Arial"/>
          <w:bCs/>
          <w:sz w:val="24"/>
          <w:szCs w:val="24"/>
        </w:rPr>
        <w:t>&amp;</w:t>
      </w:r>
      <w:r w:rsidRPr="000D696C">
        <w:rPr>
          <w:rFonts w:asciiTheme="minorHAnsi" w:hAnsiTheme="minorHAnsi" w:cs="Arial"/>
          <w:bCs/>
          <w:sz w:val="24"/>
          <w:szCs w:val="24"/>
        </w:rPr>
        <w:t xml:space="preserve"> Soil Sciences, University of Georgia, Tifton, GA</w:t>
      </w:r>
      <w:r>
        <w:rPr>
          <w:rFonts w:asciiTheme="minorHAnsi" w:hAnsiTheme="minorHAnsi" w:cs="Arial"/>
          <w:bCs/>
          <w:sz w:val="24"/>
          <w:szCs w:val="24"/>
        </w:rPr>
        <w:t xml:space="preserve">. </w:t>
      </w:r>
      <w:r>
        <w:rPr>
          <w:rFonts w:asciiTheme="minorHAnsi" w:hAnsiTheme="minorHAnsi" w:cs="Arial"/>
          <w:bCs/>
          <w:sz w:val="24"/>
          <w:szCs w:val="24"/>
          <w:vertAlign w:val="superscript"/>
        </w:rPr>
        <w:t>3</w:t>
      </w:r>
      <w:r w:rsidRPr="000D696C">
        <w:rPr>
          <w:rFonts w:asciiTheme="minorHAnsi" w:hAnsiTheme="minorHAnsi" w:cs="Arial"/>
          <w:bCs/>
          <w:sz w:val="24"/>
          <w:szCs w:val="24"/>
        </w:rPr>
        <w:t>Department of Plant Pathology, University of Georgia, Tifton, GA</w:t>
      </w:r>
      <w:r>
        <w:rPr>
          <w:rFonts w:asciiTheme="minorHAnsi" w:hAnsiTheme="minorHAnsi" w:cs="Arial"/>
          <w:bCs/>
          <w:sz w:val="24"/>
          <w:szCs w:val="24"/>
        </w:rPr>
        <w:t>.</w:t>
      </w:r>
    </w:p>
    <w:p w14:paraId="086D2A19" w14:textId="6ACDE1E6" w:rsidR="00417D95" w:rsidRPr="000D696C" w:rsidRDefault="00FF767C" w:rsidP="00FF767C">
      <w:pPr>
        <w:spacing w:after="0" w:line="240" w:lineRule="auto"/>
        <w:jc w:val="left"/>
        <w:rPr>
          <w:rFonts w:asciiTheme="minorHAnsi" w:hAnsiTheme="minorHAnsi" w:cs="Arial"/>
          <w:sz w:val="24"/>
          <w:szCs w:val="24"/>
        </w:rPr>
      </w:pPr>
      <w:r w:rsidRPr="000D696C">
        <w:rPr>
          <w:rFonts w:asciiTheme="minorHAnsi" w:hAnsiTheme="minorHAnsi" w:cs="Arial"/>
          <w:sz w:val="24"/>
          <w:szCs w:val="24"/>
        </w:rPr>
        <w:t xml:space="preserve">Tomato spotted wilt virus (TSWV) is a major constraint to peanut production in the southeastern United States, with estimated losses reaching 7% annually. Early-season infections are particularly damaging, disrupting plant establishment and pod development at critical stages of crop growth. However, conventional visual ratings are typically conducted at later growth stages, limiting the ability to capture early or subtle symptoms that are essential for selecting resistant breeding lines. </w:t>
      </w:r>
      <w:r w:rsidR="00A61786" w:rsidRPr="000D696C">
        <w:rPr>
          <w:rFonts w:asciiTheme="minorHAnsi" w:hAnsiTheme="minorHAnsi" w:cs="Arial"/>
          <w:sz w:val="24"/>
          <w:szCs w:val="24"/>
        </w:rPr>
        <w:t xml:space="preserve">Existing high-throughput phenotyping (HTP) approaches have been validated primarily at or after canopy closure, when disease pressure is already visually apparent, leaving a critical gap in the early season when TSWV has the greatest agronomic impact. </w:t>
      </w:r>
      <w:r w:rsidRPr="000D696C">
        <w:rPr>
          <w:rFonts w:asciiTheme="minorHAnsi" w:hAnsiTheme="minorHAnsi" w:cs="Arial"/>
          <w:sz w:val="24"/>
          <w:szCs w:val="24"/>
        </w:rPr>
        <w:t xml:space="preserve">To address this limitation, we developed an </w:t>
      </w:r>
      <w:r w:rsidR="00A61786" w:rsidRPr="000D696C">
        <w:rPr>
          <w:rFonts w:asciiTheme="minorHAnsi" w:hAnsiTheme="minorHAnsi" w:cs="Arial"/>
          <w:sz w:val="24"/>
          <w:szCs w:val="24"/>
        </w:rPr>
        <w:t>end-to-end a</w:t>
      </w:r>
      <w:r w:rsidRPr="000D696C">
        <w:rPr>
          <w:rFonts w:asciiTheme="minorHAnsi" w:hAnsiTheme="minorHAnsi" w:cs="Arial"/>
          <w:sz w:val="24"/>
          <w:szCs w:val="24"/>
        </w:rPr>
        <w:t xml:space="preserve">utomated </w:t>
      </w:r>
      <w:r w:rsidR="00A61786" w:rsidRPr="000D696C">
        <w:rPr>
          <w:rFonts w:asciiTheme="minorHAnsi" w:hAnsiTheme="minorHAnsi" w:cs="Arial"/>
          <w:sz w:val="24"/>
          <w:szCs w:val="24"/>
        </w:rPr>
        <w:t>pipeline</w:t>
      </w:r>
      <w:r w:rsidRPr="000D696C">
        <w:rPr>
          <w:rFonts w:asciiTheme="minorHAnsi" w:hAnsiTheme="minorHAnsi" w:cs="Arial"/>
          <w:sz w:val="24"/>
          <w:szCs w:val="24"/>
        </w:rPr>
        <w:t xml:space="preserve"> for </w:t>
      </w:r>
      <w:r w:rsidR="00A61786" w:rsidRPr="000D696C">
        <w:rPr>
          <w:rFonts w:asciiTheme="minorHAnsi" w:hAnsiTheme="minorHAnsi" w:cs="Arial"/>
          <w:sz w:val="24"/>
          <w:szCs w:val="24"/>
        </w:rPr>
        <w:t>HTP</w:t>
      </w:r>
      <w:r w:rsidRPr="000D696C">
        <w:rPr>
          <w:rFonts w:asciiTheme="minorHAnsi" w:hAnsiTheme="minorHAnsi" w:cs="Arial"/>
          <w:sz w:val="24"/>
          <w:szCs w:val="24"/>
        </w:rPr>
        <w:t xml:space="preserve"> of TSWV incidence in peanut breeding trials, spanning the entire workflow from data collection to plot-level disease estimation. </w:t>
      </w:r>
      <w:r w:rsidR="008B69EE" w:rsidRPr="000D696C">
        <w:rPr>
          <w:rFonts w:asciiTheme="minorHAnsi" w:hAnsiTheme="minorHAnsi" w:cs="Arial"/>
          <w:sz w:val="24"/>
          <w:szCs w:val="24"/>
        </w:rPr>
        <w:t xml:space="preserve">High-resolution </w:t>
      </w:r>
      <w:r w:rsidR="000305F0" w:rsidRPr="000D696C">
        <w:rPr>
          <w:rFonts w:asciiTheme="minorHAnsi" w:hAnsiTheme="minorHAnsi" w:cs="Arial"/>
          <w:sz w:val="24"/>
          <w:szCs w:val="24"/>
        </w:rPr>
        <w:t xml:space="preserve">proximal RGB </w:t>
      </w:r>
      <w:r w:rsidR="008B69EE" w:rsidRPr="000D696C">
        <w:rPr>
          <w:rFonts w:asciiTheme="minorHAnsi" w:hAnsiTheme="minorHAnsi" w:cs="Arial"/>
          <w:sz w:val="24"/>
          <w:szCs w:val="24"/>
        </w:rPr>
        <w:t>imagery was acquired using a ground-based robotic platform across multiple locations under natural infection conditions.</w:t>
      </w:r>
      <w:r w:rsidRPr="000D696C">
        <w:rPr>
          <w:rFonts w:asciiTheme="minorHAnsi" w:hAnsiTheme="minorHAnsi" w:cs="Arial"/>
          <w:sz w:val="24"/>
          <w:szCs w:val="24"/>
        </w:rPr>
        <w:t xml:space="preserve"> The pipeline generated spatially consistent plot-level mosaics, which were subsequently divided into segments matching the sampling scheme used in standard visual ratings. Convolutional neural networks (CNN) were then applied to predict symptom presence within each segment. Disease estimates were evaluated against visual ratings collected at approximately 70 and 120 days after planting and against UAV-based observations from the same trials. </w:t>
      </w:r>
      <w:r w:rsidR="000305F0" w:rsidRPr="000D696C">
        <w:rPr>
          <w:rFonts w:asciiTheme="minorHAnsi" w:hAnsiTheme="minorHAnsi" w:cs="Arial"/>
          <w:sz w:val="24"/>
          <w:szCs w:val="24"/>
        </w:rPr>
        <w:t>This approach enables repeatable, high-throughput estimation of TSWV incidence at the plot level and has the potential to capture disease signals earlier in the season</w:t>
      </w:r>
      <w:r w:rsidR="00D61C63">
        <w:rPr>
          <w:rFonts w:asciiTheme="minorHAnsi" w:hAnsiTheme="minorHAnsi" w:cs="Arial"/>
          <w:sz w:val="24"/>
          <w:szCs w:val="24"/>
        </w:rPr>
        <w:t>, supporting more effective</w:t>
      </w:r>
      <w:r w:rsidR="000305F0" w:rsidRPr="000D696C">
        <w:rPr>
          <w:rFonts w:asciiTheme="minorHAnsi" w:hAnsiTheme="minorHAnsi" w:cs="Arial"/>
          <w:sz w:val="24"/>
          <w:szCs w:val="24"/>
        </w:rPr>
        <w:t xml:space="preserve"> selection of resistant lines in peanut breeding programs.</w:t>
      </w:r>
    </w:p>
    <w:sectPr w:rsidR="00417D95" w:rsidRPr="000D696C" w:rsidSect="00E02E64">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241"/>
    <w:rsid w:val="000305F0"/>
    <w:rsid w:val="00033286"/>
    <w:rsid w:val="00083182"/>
    <w:rsid w:val="0009170E"/>
    <w:rsid w:val="000A45D5"/>
    <w:rsid w:val="000D696C"/>
    <w:rsid w:val="00146070"/>
    <w:rsid w:val="001837DF"/>
    <w:rsid w:val="001E1642"/>
    <w:rsid w:val="00232185"/>
    <w:rsid w:val="002A1C8F"/>
    <w:rsid w:val="002C0BF2"/>
    <w:rsid w:val="00370809"/>
    <w:rsid w:val="00417D95"/>
    <w:rsid w:val="00471F1F"/>
    <w:rsid w:val="004B7A30"/>
    <w:rsid w:val="0050230F"/>
    <w:rsid w:val="00524770"/>
    <w:rsid w:val="00574241"/>
    <w:rsid w:val="0063007F"/>
    <w:rsid w:val="006A0D7C"/>
    <w:rsid w:val="006B3EF7"/>
    <w:rsid w:val="006F3E4A"/>
    <w:rsid w:val="00710685"/>
    <w:rsid w:val="00725A02"/>
    <w:rsid w:val="00837BB5"/>
    <w:rsid w:val="00870451"/>
    <w:rsid w:val="008B4BA2"/>
    <w:rsid w:val="008B69EE"/>
    <w:rsid w:val="008C1599"/>
    <w:rsid w:val="009F12B0"/>
    <w:rsid w:val="00A27768"/>
    <w:rsid w:val="00A377B5"/>
    <w:rsid w:val="00A61786"/>
    <w:rsid w:val="00AB75C4"/>
    <w:rsid w:val="00AE52DF"/>
    <w:rsid w:val="00AF4321"/>
    <w:rsid w:val="00B9545F"/>
    <w:rsid w:val="00BF53DD"/>
    <w:rsid w:val="00C46351"/>
    <w:rsid w:val="00D57112"/>
    <w:rsid w:val="00D61C63"/>
    <w:rsid w:val="00D870C6"/>
    <w:rsid w:val="00E02E64"/>
    <w:rsid w:val="00F37186"/>
    <w:rsid w:val="00F562EF"/>
    <w:rsid w:val="00FF767C"/>
    <w:rsid w:val="166F84DD"/>
    <w:rsid w:val="3AA20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E9514"/>
  <w15:chartTrackingRefBased/>
  <w15:docId w15:val="{A8AFD62A-1C81-4EC9-AC6A-70A612235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241"/>
    <w:pPr>
      <w:spacing w:line="259" w:lineRule="auto"/>
      <w:jc w:val="both"/>
    </w:pPr>
    <w:rPr>
      <w:rFonts w:ascii="Times New Roman" w:hAnsi="Times New Roman" w:cs="Times New Roman"/>
      <w:kern w:val="0"/>
      <w:sz w:val="22"/>
      <w:szCs w:val="22"/>
      <w:lang w:eastAsia="es-ES"/>
      <w14:ligatures w14:val="none"/>
    </w:rPr>
  </w:style>
  <w:style w:type="paragraph" w:styleId="Heading1">
    <w:name w:val="heading 1"/>
    <w:basedOn w:val="Normal"/>
    <w:next w:val="Normal"/>
    <w:link w:val="Heading1Char"/>
    <w:uiPriority w:val="9"/>
    <w:qFormat/>
    <w:rsid w:val="00574241"/>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74241"/>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74241"/>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74241"/>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574241"/>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574241"/>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574241"/>
    <w:pPr>
      <w:keepNext/>
      <w:keepLines/>
      <w:spacing w:before="40" w:after="0" w:line="278" w:lineRule="auto"/>
      <w:jc w:val="left"/>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574241"/>
    <w:pPr>
      <w:keepNext/>
      <w:keepLines/>
      <w:spacing w:after="0" w:line="278" w:lineRule="auto"/>
      <w:jc w:val="left"/>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574241"/>
    <w:pPr>
      <w:keepNext/>
      <w:keepLines/>
      <w:spacing w:after="0" w:line="278" w:lineRule="auto"/>
      <w:jc w:val="left"/>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4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4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4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4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4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4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4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4241"/>
    <w:rPr>
      <w:rFonts w:eastAsiaTheme="majorEastAsia" w:cstheme="majorBidi"/>
      <w:color w:val="272727" w:themeColor="text1" w:themeTint="D8"/>
    </w:rPr>
  </w:style>
  <w:style w:type="paragraph" w:styleId="Title">
    <w:name w:val="Title"/>
    <w:basedOn w:val="Normal"/>
    <w:next w:val="Normal"/>
    <w:link w:val="TitleChar"/>
    <w:uiPriority w:val="10"/>
    <w:qFormat/>
    <w:rsid w:val="00574241"/>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74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4241"/>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74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4241"/>
    <w:pPr>
      <w:spacing w:before="160" w:line="278" w:lineRule="auto"/>
      <w:jc w:val="center"/>
    </w:pPr>
    <w:rPr>
      <w:rFonts w:ascii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574241"/>
    <w:rPr>
      <w:i/>
      <w:iCs/>
      <w:color w:val="404040" w:themeColor="text1" w:themeTint="BF"/>
    </w:rPr>
  </w:style>
  <w:style w:type="paragraph" w:styleId="ListParagraph">
    <w:name w:val="List Paragraph"/>
    <w:basedOn w:val="Normal"/>
    <w:uiPriority w:val="34"/>
    <w:qFormat/>
    <w:rsid w:val="00574241"/>
    <w:pPr>
      <w:spacing w:line="278" w:lineRule="auto"/>
      <w:ind w:left="720"/>
      <w:contextualSpacing/>
      <w:jc w:val="left"/>
    </w:pPr>
    <w:rPr>
      <w:rFonts w:ascii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574241"/>
    <w:rPr>
      <w:i/>
      <w:iCs/>
      <w:color w:val="0F4761" w:themeColor="accent1" w:themeShade="BF"/>
    </w:rPr>
  </w:style>
  <w:style w:type="paragraph" w:styleId="IntenseQuote">
    <w:name w:val="Intense Quote"/>
    <w:basedOn w:val="Normal"/>
    <w:next w:val="Normal"/>
    <w:link w:val="IntenseQuoteChar"/>
    <w:uiPriority w:val="30"/>
    <w:qFormat/>
    <w:rsid w:val="0057424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574241"/>
    <w:rPr>
      <w:i/>
      <w:iCs/>
      <w:color w:val="0F4761" w:themeColor="accent1" w:themeShade="BF"/>
    </w:rPr>
  </w:style>
  <w:style w:type="character" w:styleId="IntenseReference">
    <w:name w:val="Intense Reference"/>
    <w:basedOn w:val="DefaultParagraphFont"/>
    <w:uiPriority w:val="32"/>
    <w:qFormat/>
    <w:rsid w:val="00574241"/>
    <w:rPr>
      <w:b/>
      <w:bCs/>
      <w:smallCaps/>
      <w:color w:val="0F4761" w:themeColor="accent1" w:themeShade="BF"/>
      <w:spacing w:val="5"/>
    </w:rPr>
  </w:style>
  <w:style w:type="paragraph" w:styleId="Revision">
    <w:name w:val="Revision"/>
    <w:hidden/>
    <w:uiPriority w:val="99"/>
    <w:semiHidden/>
    <w:rsid w:val="00146070"/>
    <w:pPr>
      <w:spacing w:after="0" w:line="240" w:lineRule="auto"/>
    </w:pPr>
    <w:rPr>
      <w:rFonts w:ascii="Times New Roman" w:hAnsi="Times New Roman" w:cs="Times New Roman"/>
      <w:kern w:val="0"/>
      <w:sz w:val="22"/>
      <w:szCs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306</Words>
  <Characters>1935</Characters>
  <Application>Microsoft Office Word</Application>
  <DocSecurity>0</DocSecurity>
  <Lines>31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Rodriguez Sanchez</dc:creator>
  <cp:keywords/>
  <dc:description/>
  <cp:lastModifiedBy>Javier Rodriguez Sanchez</cp:lastModifiedBy>
  <cp:revision>4</cp:revision>
  <dcterms:created xsi:type="dcterms:W3CDTF">2026-03-21T20:44:00Z</dcterms:created>
  <dcterms:modified xsi:type="dcterms:W3CDTF">2026-03-21T21:07:00Z</dcterms:modified>
</cp:coreProperties>
</file>