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413E1" w14:textId="6789EEB9" w:rsidR="00DC62BA" w:rsidRPr="00DC62BA" w:rsidRDefault="00DC62BA" w:rsidP="00DC62BA">
      <w:pPr>
        <w:rPr>
          <w:rFonts w:ascii="Aptos" w:hAnsi="Aptos"/>
          <w:b/>
          <w:bCs/>
        </w:rPr>
      </w:pPr>
      <w:r w:rsidRPr="00DC62BA">
        <w:rPr>
          <w:rFonts w:ascii="Aptos" w:hAnsi="Aptos"/>
          <w:b/>
          <w:bCs/>
        </w:rPr>
        <w:t>Assessing Sulfur and Copper Fungicide Programs for Early and Late Leaf Spot Suppression as Regulatory Pressure Reduces Chlorothalonil Use</w:t>
      </w:r>
    </w:p>
    <w:p w14:paraId="0169C7F1" w14:textId="77777777" w:rsidR="00DC62BA" w:rsidRDefault="00DC62BA" w:rsidP="00DC62BA">
      <w:pPr>
        <w:rPr>
          <w:rFonts w:ascii="Aptos" w:hAnsi="Aptos"/>
        </w:rPr>
      </w:pPr>
    </w:p>
    <w:p w14:paraId="6D7FE757" w14:textId="77777777" w:rsidR="00C53C79" w:rsidRDefault="007E6DF7" w:rsidP="00DC62BA">
      <w:pPr>
        <w:rPr>
          <w:rFonts w:ascii="Aptos" w:hAnsi="Aptos"/>
        </w:rPr>
      </w:pPr>
      <w:r>
        <w:rPr>
          <w:rFonts w:ascii="Aptos" w:hAnsi="Aptos"/>
          <w:b/>
          <w:bCs/>
        </w:rPr>
        <w:t>GARRETT, L. E.</w:t>
      </w:r>
      <w:r>
        <w:rPr>
          <w:rFonts w:ascii="Aptos" w:hAnsi="Aptos"/>
          <w:b/>
          <w:bCs/>
          <w:vertAlign w:val="superscript"/>
        </w:rPr>
        <w:t>1</w:t>
      </w:r>
      <w:r>
        <w:rPr>
          <w:rFonts w:ascii="Aptos" w:hAnsi="Aptos"/>
          <w:b/>
          <w:bCs/>
        </w:rPr>
        <w:t xml:space="preserve">, </w:t>
      </w:r>
      <w:r>
        <w:rPr>
          <w:rFonts w:ascii="Aptos" w:hAnsi="Aptos"/>
        </w:rPr>
        <w:t>Cavassa, M.</w:t>
      </w:r>
      <w:r>
        <w:rPr>
          <w:rFonts w:ascii="Aptos" w:hAnsi="Aptos"/>
          <w:vertAlign w:val="superscript"/>
        </w:rPr>
        <w:t>1</w:t>
      </w:r>
      <w:r>
        <w:rPr>
          <w:rFonts w:ascii="Aptos" w:hAnsi="Aptos"/>
        </w:rPr>
        <w:t>, Parker, C.</w:t>
      </w:r>
      <w:r>
        <w:rPr>
          <w:rFonts w:ascii="Aptos" w:hAnsi="Aptos"/>
          <w:vertAlign w:val="superscript"/>
        </w:rPr>
        <w:t>2</w:t>
      </w:r>
      <w:r>
        <w:rPr>
          <w:rFonts w:ascii="Aptos" w:hAnsi="Aptos"/>
        </w:rPr>
        <w:t xml:space="preserve">, Graham, S., </w:t>
      </w:r>
      <w:r w:rsidR="00C53C79">
        <w:rPr>
          <w:rFonts w:ascii="Aptos" w:hAnsi="Aptos"/>
        </w:rPr>
        <w:t>H.</w:t>
      </w:r>
      <w:r w:rsidR="00C53C79">
        <w:rPr>
          <w:rFonts w:ascii="Aptos" w:hAnsi="Aptos"/>
          <w:vertAlign w:val="superscript"/>
        </w:rPr>
        <w:t>1</w:t>
      </w:r>
      <w:r w:rsidR="00C53C79">
        <w:rPr>
          <w:rFonts w:ascii="Aptos" w:hAnsi="Aptos"/>
        </w:rPr>
        <w:t>, and Strayer-Scherer, A. L.</w:t>
      </w:r>
    </w:p>
    <w:p w14:paraId="13CD1EBD" w14:textId="28E8BB01" w:rsidR="00C53C79" w:rsidRDefault="00C53C79" w:rsidP="00DC62BA">
      <w:pPr>
        <w:rPr>
          <w:rFonts w:ascii="Aptos" w:hAnsi="Aptos"/>
        </w:rPr>
      </w:pPr>
      <w:r>
        <w:rPr>
          <w:rFonts w:ascii="Aptos" w:hAnsi="Aptos"/>
          <w:vertAlign w:val="superscript"/>
        </w:rPr>
        <w:t>1</w:t>
      </w:r>
      <w:r>
        <w:rPr>
          <w:rFonts w:ascii="Aptos" w:hAnsi="Aptos"/>
        </w:rPr>
        <w:t xml:space="preserve">Department of Entomology and Plant Pathology, Auburn University, Auburn, AL. </w:t>
      </w:r>
      <w:r>
        <w:rPr>
          <w:rFonts w:ascii="Aptos" w:hAnsi="Aptos"/>
          <w:vertAlign w:val="superscript"/>
        </w:rPr>
        <w:t>2</w:t>
      </w:r>
      <w:r>
        <w:rPr>
          <w:rFonts w:ascii="Aptos" w:hAnsi="Aptos"/>
        </w:rPr>
        <w:t xml:space="preserve">Wiregrass Research and Extension Center, Auburn University, Headland, AL.  </w:t>
      </w:r>
    </w:p>
    <w:p w14:paraId="558AC803" w14:textId="2BFFEA52" w:rsidR="007E6DF7" w:rsidRPr="007E6DF7" w:rsidRDefault="007E6DF7" w:rsidP="00DC62BA">
      <w:pPr>
        <w:rPr>
          <w:rFonts w:ascii="Aptos" w:hAnsi="Aptos"/>
          <w:b/>
          <w:bCs/>
        </w:rPr>
      </w:pPr>
      <w:r>
        <w:rPr>
          <w:rFonts w:ascii="Aptos" w:hAnsi="Aptos"/>
        </w:rPr>
        <w:t xml:space="preserve"> </w:t>
      </w:r>
      <w:r>
        <w:rPr>
          <w:rFonts w:ascii="Aptos" w:hAnsi="Aptos"/>
          <w:b/>
          <w:bCs/>
        </w:rPr>
        <w:t xml:space="preserve"> </w:t>
      </w:r>
    </w:p>
    <w:p w14:paraId="6A015E23" w14:textId="1ACDC1E4" w:rsidR="00DC62BA" w:rsidRPr="00DC62BA" w:rsidRDefault="00DC62BA" w:rsidP="00DC62BA">
      <w:pPr>
        <w:rPr>
          <w:rFonts w:ascii="Aptos" w:hAnsi="Aptos"/>
        </w:rPr>
      </w:pPr>
      <w:r w:rsidRPr="00DC62BA">
        <w:rPr>
          <w:rFonts w:ascii="Aptos" w:hAnsi="Aptos"/>
        </w:rPr>
        <w:t>Increasing regulatory restrictions on chlorothalonil use by the U.S. EPA and international agencies have intensified the need for effective, non</w:t>
      </w:r>
      <w:r w:rsidRPr="00DC62BA">
        <w:rPr>
          <w:rFonts w:ascii="Aptos" w:hAnsi="Aptos"/>
        </w:rPr>
        <w:noBreakHyphen/>
        <w:t>chlorothalonil management options for early (</w:t>
      </w:r>
      <w:r w:rsidRPr="00DC62BA">
        <w:rPr>
          <w:rFonts w:ascii="Aptos" w:hAnsi="Aptos"/>
          <w:i/>
          <w:iCs/>
        </w:rPr>
        <w:t>Passalora arachidicola</w:t>
      </w:r>
      <w:r w:rsidRPr="00DC62BA">
        <w:rPr>
          <w:rFonts w:ascii="Aptos" w:hAnsi="Aptos"/>
        </w:rPr>
        <w:t>) and late (</w:t>
      </w:r>
      <w:r w:rsidRPr="00DC62BA">
        <w:rPr>
          <w:rFonts w:ascii="Aptos" w:hAnsi="Aptos"/>
          <w:i/>
          <w:iCs/>
        </w:rPr>
        <w:t>Nothopassalora personata</w:t>
      </w:r>
      <w:r w:rsidRPr="00DC62BA">
        <w:rPr>
          <w:rFonts w:ascii="Aptos" w:hAnsi="Aptos"/>
        </w:rPr>
        <w:t>) leaf spot in peanut production.</w:t>
      </w:r>
      <w:r>
        <w:rPr>
          <w:rFonts w:ascii="Aptos" w:hAnsi="Aptos"/>
        </w:rPr>
        <w:t xml:space="preserve"> Hence, f</w:t>
      </w:r>
      <w:r w:rsidRPr="00DC62BA">
        <w:rPr>
          <w:rFonts w:ascii="Aptos" w:hAnsi="Aptos"/>
        </w:rPr>
        <w:t>ield trials were established in 2024 and 2025 at the Wiregrass Research and Extension Center in Headland, Alabama to evaluate alternatives to chlorothalonil, with emphasis on sulfur</w:t>
      </w:r>
      <w:r w:rsidRPr="00DC62BA">
        <w:rPr>
          <w:rFonts w:ascii="Aptos" w:hAnsi="Aptos"/>
        </w:rPr>
        <w:noBreakHyphen/>
        <w:t>based (Microthiol Disperss) and copper</w:t>
      </w:r>
      <w:r w:rsidRPr="00DC62BA">
        <w:rPr>
          <w:rFonts w:ascii="Aptos" w:hAnsi="Aptos"/>
        </w:rPr>
        <w:noBreakHyphen/>
        <w:t>based (CuproFix Ultra) programs. Across both years, Microthiol Disperss applied alone at 3.0</w:t>
      </w:r>
      <w:r>
        <w:rPr>
          <w:rFonts w:ascii="Aptos" w:hAnsi="Aptos"/>
        </w:rPr>
        <w:t xml:space="preserve"> or </w:t>
      </w:r>
      <w:r w:rsidRPr="00DC62BA">
        <w:rPr>
          <w:rFonts w:ascii="Aptos" w:hAnsi="Aptos"/>
        </w:rPr>
        <w:t xml:space="preserve">5.0 </w:t>
      </w:r>
      <w:proofErr w:type="spellStart"/>
      <w:r w:rsidRPr="00DC62BA">
        <w:rPr>
          <w:rFonts w:ascii="Aptos" w:hAnsi="Aptos"/>
        </w:rPr>
        <w:t>lb</w:t>
      </w:r>
      <w:proofErr w:type="spellEnd"/>
      <w:r w:rsidRPr="00DC62BA">
        <w:rPr>
          <w:rFonts w:ascii="Aptos" w:hAnsi="Aptos"/>
        </w:rPr>
        <w:t>/A or in combination with CuproFix Ultra consistently and significantly reduced leaf spot severity relative to the nontreated control. In 2024, late</w:t>
      </w:r>
      <w:r w:rsidRPr="00DC62BA">
        <w:rPr>
          <w:rFonts w:ascii="Aptos" w:hAnsi="Aptos"/>
        </w:rPr>
        <w:noBreakHyphen/>
        <w:t>season ratings ranged from 2.0–2.4 compared with 2.9–6.3 in the control, and defoliation was reduced from 55% in the control to 3–12% in treated plots. In 2025, Microthiol Disperss alone at 1.5</w:t>
      </w:r>
      <w:r>
        <w:rPr>
          <w:rFonts w:ascii="Aptos" w:hAnsi="Aptos"/>
        </w:rPr>
        <w:t xml:space="preserve">, 3.0, or </w:t>
      </w:r>
      <w:r w:rsidRPr="00DC62BA">
        <w:rPr>
          <w:rFonts w:ascii="Aptos" w:hAnsi="Aptos"/>
        </w:rPr>
        <w:t xml:space="preserve">5.0 </w:t>
      </w:r>
      <w:proofErr w:type="spellStart"/>
      <w:r w:rsidRPr="00DC62BA">
        <w:rPr>
          <w:rFonts w:ascii="Aptos" w:hAnsi="Aptos"/>
        </w:rPr>
        <w:t>lb</w:t>
      </w:r>
      <w:proofErr w:type="spellEnd"/>
      <w:r w:rsidRPr="00DC62BA">
        <w:rPr>
          <w:rFonts w:ascii="Aptos" w:hAnsi="Aptos"/>
        </w:rPr>
        <w:t xml:space="preserve">/A significantly reduced leaf spot severity (18.7–26.4% defoliation) compared with 55.6% in the nontreated control, while combinations with CuproFix Ultra achieved the lowest disease levels (14.4–18.7%). Yield responses varied by year, but several Microthiol Disperss + CuproFix Ultra programs performed comparably to or exceeded the chlorothalonil standards, including 2024 yields up to 5,356 </w:t>
      </w:r>
      <w:proofErr w:type="spellStart"/>
      <w:r w:rsidRPr="00DC62BA">
        <w:rPr>
          <w:rFonts w:ascii="Aptos" w:hAnsi="Aptos"/>
        </w:rPr>
        <w:t>lb</w:t>
      </w:r>
      <w:proofErr w:type="spellEnd"/>
      <w:r w:rsidRPr="00DC62BA">
        <w:rPr>
          <w:rFonts w:ascii="Aptos" w:hAnsi="Aptos"/>
        </w:rPr>
        <w:t xml:space="preserve">/A and 2025 yields up to 3,267 </w:t>
      </w:r>
      <w:proofErr w:type="spellStart"/>
      <w:r w:rsidRPr="00DC62BA">
        <w:rPr>
          <w:rFonts w:ascii="Aptos" w:hAnsi="Aptos"/>
        </w:rPr>
        <w:t>lb</w:t>
      </w:r>
      <w:proofErr w:type="spellEnd"/>
      <w:r w:rsidRPr="00DC62BA">
        <w:rPr>
          <w:rFonts w:ascii="Aptos" w:hAnsi="Aptos"/>
        </w:rPr>
        <w:t>/A. These results indicate that sulfur</w:t>
      </w:r>
      <w:r w:rsidRPr="00DC62BA">
        <w:rPr>
          <w:rFonts w:ascii="Aptos" w:hAnsi="Aptos"/>
        </w:rPr>
        <w:noBreakHyphen/>
        <w:t xml:space="preserve"> and copper</w:t>
      </w:r>
      <w:r w:rsidRPr="00DC62BA">
        <w:rPr>
          <w:rFonts w:ascii="Aptos" w:hAnsi="Aptos"/>
        </w:rPr>
        <w:noBreakHyphen/>
        <w:t>based protectants, particularly when combined, can provide effective leaf spot suppression and maintain yield potential as viable chlorothalonil alternatives in southeastern Alabama peanut production systems.</w:t>
      </w:r>
    </w:p>
    <w:p w14:paraId="3495521B" w14:textId="78E0FAC5" w:rsidR="00B73BC8" w:rsidRPr="00DC62BA" w:rsidRDefault="00B73BC8" w:rsidP="00DC62BA"/>
    <w:sectPr w:rsidR="00B73BC8" w:rsidRPr="00DC6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2E"/>
    <w:rsid w:val="000919DE"/>
    <w:rsid w:val="0055020D"/>
    <w:rsid w:val="00587AB6"/>
    <w:rsid w:val="007E6DF7"/>
    <w:rsid w:val="00AE14CF"/>
    <w:rsid w:val="00B73BC8"/>
    <w:rsid w:val="00C53C79"/>
    <w:rsid w:val="00CF7D2E"/>
    <w:rsid w:val="00DC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C0CE3"/>
  <w15:chartTrackingRefBased/>
  <w15:docId w15:val="{E48E51E0-4076-47FE-9E4D-7B245214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7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D2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D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D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D2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D2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D2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D2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D2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D2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D2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D2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D2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D2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D2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D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7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D2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7D2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D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7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D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306</Words>
  <Characters>1740</Characters>
  <Application>Microsoft Office Word</Application>
  <DocSecurity>0</DocSecurity>
  <Lines>102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Strayer-Scherer</dc:creator>
  <cp:keywords/>
  <dc:description/>
  <cp:lastModifiedBy>Amanda Strayer-Scherer</cp:lastModifiedBy>
  <cp:revision>1</cp:revision>
  <dcterms:created xsi:type="dcterms:W3CDTF">2026-03-31T14:51:00Z</dcterms:created>
  <dcterms:modified xsi:type="dcterms:W3CDTF">2026-03-31T15:42:00Z</dcterms:modified>
</cp:coreProperties>
</file>