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89408" w14:textId="77777777" w:rsidR="005A1F8C" w:rsidRPr="00730A7B" w:rsidRDefault="005A1F8C" w:rsidP="005A1F8C">
      <w:pPr>
        <w:spacing w:before="100" w:beforeAutospacing="1" w:after="100" w:afterAutospacing="1" w:line="300" w:lineRule="atLeast"/>
        <w:outlineLvl w:val="2"/>
        <w:rPr>
          <w:rFonts w:asciiTheme="majorHAnsi" w:eastAsia="Times New Roman" w:hAnsiTheme="majorHAnsi" w:cs="Segoe UI"/>
          <w:b/>
          <w:bCs/>
          <w:kern w:val="0"/>
          <w14:ligatures w14:val="none"/>
        </w:rPr>
      </w:pPr>
      <w:r w:rsidRPr="00730A7B">
        <w:rPr>
          <w:rFonts w:asciiTheme="majorHAnsi" w:eastAsia="Times New Roman" w:hAnsiTheme="majorHAnsi" w:cs="Segoe UI"/>
          <w:b/>
          <w:bCs/>
          <w:kern w:val="0"/>
          <w14:ligatures w14:val="none"/>
        </w:rPr>
        <w:t xml:space="preserve">Management of </w:t>
      </w:r>
      <w:r w:rsidRPr="00730A7B">
        <w:rPr>
          <w:rFonts w:asciiTheme="majorHAnsi" w:eastAsia="Times New Roman" w:hAnsiTheme="majorHAnsi" w:cs="Segoe UI"/>
          <w:b/>
          <w:bCs/>
          <w:i/>
          <w:iCs/>
          <w:kern w:val="0"/>
          <w14:ligatures w14:val="none"/>
        </w:rPr>
        <w:t>Pythium</w:t>
      </w:r>
      <w:r w:rsidRPr="00730A7B">
        <w:rPr>
          <w:rFonts w:asciiTheme="majorHAnsi" w:eastAsia="Times New Roman" w:hAnsiTheme="majorHAnsi" w:cs="Segoe UI"/>
          <w:b/>
          <w:bCs/>
          <w:kern w:val="0"/>
          <w14:ligatures w14:val="none"/>
        </w:rPr>
        <w:t xml:space="preserve"> Pod Rot with an Organically Approved Product</w:t>
      </w:r>
    </w:p>
    <w:p w14:paraId="0693C3B6" w14:textId="26E30DEB" w:rsidR="005A1F8C" w:rsidRPr="00730A7B" w:rsidRDefault="005A1F8C" w:rsidP="005A1F8C">
      <w:pPr>
        <w:spacing w:before="100" w:beforeAutospacing="1" w:after="100" w:afterAutospacing="1" w:line="300" w:lineRule="atLeast"/>
        <w:rPr>
          <w:rFonts w:asciiTheme="majorHAnsi" w:eastAsia="Times New Roman" w:hAnsiTheme="majorHAnsi" w:cs="Segoe UI"/>
          <w:kern w:val="0"/>
          <w14:ligatures w14:val="none"/>
        </w:rPr>
      </w:pPr>
      <w:r w:rsidRPr="00730A7B">
        <w:rPr>
          <w:rFonts w:asciiTheme="majorHAnsi" w:eastAsia="Times New Roman" w:hAnsiTheme="majorHAnsi" w:cs="Segoe UI"/>
          <w:b/>
          <w:bCs/>
          <w:kern w:val="0"/>
          <w14:ligatures w14:val="none"/>
        </w:rPr>
        <w:t>M</w:t>
      </w:r>
      <w:r w:rsidR="00A50B64">
        <w:rPr>
          <w:rFonts w:asciiTheme="majorHAnsi" w:eastAsia="Times New Roman" w:hAnsiTheme="majorHAnsi" w:cs="Segoe UI"/>
          <w:b/>
          <w:bCs/>
          <w:kern w:val="0"/>
          <w14:ligatures w14:val="none"/>
        </w:rPr>
        <w:t>CCOLLUM</w:t>
      </w:r>
      <w:r w:rsidRPr="00730A7B">
        <w:rPr>
          <w:rFonts w:asciiTheme="majorHAnsi" w:eastAsia="Times New Roman" w:hAnsiTheme="majorHAnsi" w:cs="Segoe UI"/>
          <w:b/>
          <w:bCs/>
          <w:kern w:val="0"/>
          <w14:ligatures w14:val="none"/>
        </w:rPr>
        <w:t>, W.K.¹</w:t>
      </w:r>
      <w:r w:rsidRPr="00730A7B">
        <w:rPr>
          <w:rFonts w:asciiTheme="majorHAnsi" w:eastAsia="Times New Roman" w:hAnsiTheme="majorHAnsi" w:cs="Segoe UI"/>
          <w:kern w:val="0"/>
          <w14:ligatures w14:val="none"/>
        </w:rPr>
        <w:t>, Wheeler, T.A.², Ph.D., Millican, T.J.³</w:t>
      </w:r>
    </w:p>
    <w:p w14:paraId="6DC7D78F" w14:textId="4A86929E" w:rsidR="005A1F8C" w:rsidRPr="00730A7B" w:rsidRDefault="005A1F8C" w:rsidP="005A1F8C">
      <w:pPr>
        <w:spacing w:before="100" w:beforeAutospacing="1" w:after="100" w:afterAutospacing="1" w:line="300" w:lineRule="atLeast"/>
        <w:rPr>
          <w:rFonts w:asciiTheme="majorHAnsi" w:eastAsia="Times New Roman" w:hAnsiTheme="majorHAnsi" w:cs="Segoe UI"/>
          <w:kern w:val="0"/>
          <w14:ligatures w14:val="none"/>
        </w:rPr>
      </w:pPr>
      <w:r w:rsidRPr="00730A7B">
        <w:rPr>
          <w:rFonts w:asciiTheme="majorHAnsi" w:eastAsia="Times New Roman" w:hAnsiTheme="majorHAnsi" w:cs="Segoe UI"/>
          <w:kern w:val="0"/>
          <w14:ligatures w14:val="none"/>
        </w:rPr>
        <w:t>¹Texas A&amp;M AgriLife Extension Service, Department of Entomology, Seminole, TX</w:t>
      </w:r>
      <w:r w:rsidRPr="00730A7B">
        <w:rPr>
          <w:rFonts w:asciiTheme="majorHAnsi" w:eastAsia="Times New Roman" w:hAnsiTheme="majorHAnsi" w:cs="Segoe UI"/>
          <w:kern w:val="0"/>
          <w14:ligatures w14:val="none"/>
        </w:rPr>
        <w:br/>
        <w:t>²Texas A&amp;M AgriLife Research and Extension Center, Department of Plant Pathology, Lubbock, TX</w:t>
      </w:r>
      <w:r w:rsidRPr="00730A7B">
        <w:rPr>
          <w:rFonts w:asciiTheme="majorHAnsi" w:eastAsia="Times New Roman" w:hAnsiTheme="majorHAnsi" w:cs="Segoe UI"/>
          <w:kern w:val="0"/>
          <w14:ligatures w14:val="none"/>
        </w:rPr>
        <w:br/>
        <w:t>³Texas A&amp;M AgriLife Extension Service,</w:t>
      </w:r>
      <w:r>
        <w:rPr>
          <w:rFonts w:asciiTheme="majorHAnsi" w:eastAsia="Times New Roman" w:hAnsiTheme="majorHAnsi" w:cs="Segoe UI"/>
          <w:kern w:val="0"/>
          <w14:ligatures w14:val="none"/>
        </w:rPr>
        <w:t xml:space="preserve"> Seminole</w:t>
      </w:r>
      <w:r w:rsidRPr="00730A7B">
        <w:rPr>
          <w:rFonts w:asciiTheme="majorHAnsi" w:eastAsia="Times New Roman" w:hAnsiTheme="majorHAnsi" w:cs="Segoe UI"/>
          <w:kern w:val="0"/>
          <w14:ligatures w14:val="none"/>
        </w:rPr>
        <w:t>, TX</w:t>
      </w:r>
    </w:p>
    <w:p w14:paraId="1B93C456" w14:textId="6F6F3FB7" w:rsidR="003439ED" w:rsidRPr="005A1F8C" w:rsidRDefault="003439ED">
      <w:pPr>
        <w:rPr>
          <w:rFonts w:cs="Arial"/>
          <w:b/>
          <w:bCs/>
        </w:rPr>
      </w:pPr>
    </w:p>
    <w:p w14:paraId="753DF312" w14:textId="6682033F" w:rsidR="0087070F" w:rsidRPr="005A1F8C" w:rsidRDefault="005C2584" w:rsidP="0087070F">
      <w:pPr>
        <w:rPr>
          <w:rFonts w:cs="Arial"/>
        </w:rPr>
      </w:pPr>
      <w:r w:rsidRPr="005A1F8C">
        <w:rPr>
          <w:rFonts w:cs="Arial"/>
        </w:rPr>
        <w:t xml:space="preserve">Pythium </w:t>
      </w:r>
      <w:r w:rsidR="003439ED" w:rsidRPr="005A1F8C">
        <w:rPr>
          <w:rFonts w:cs="Arial"/>
        </w:rPr>
        <w:t>p</w:t>
      </w:r>
      <w:r w:rsidRPr="005A1F8C">
        <w:rPr>
          <w:rFonts w:cs="Arial"/>
        </w:rPr>
        <w:t xml:space="preserve">od </w:t>
      </w:r>
      <w:r w:rsidR="003439ED" w:rsidRPr="005A1F8C">
        <w:rPr>
          <w:rFonts w:cs="Arial"/>
        </w:rPr>
        <w:t>r</w:t>
      </w:r>
      <w:r w:rsidRPr="005A1F8C">
        <w:rPr>
          <w:rFonts w:cs="Arial"/>
        </w:rPr>
        <w:t>ot</w:t>
      </w:r>
      <w:r w:rsidR="003439ED" w:rsidRPr="005A1F8C">
        <w:rPr>
          <w:rFonts w:cs="Arial"/>
        </w:rPr>
        <w:t xml:space="preserve">, which can be caused by multiple species of </w:t>
      </w:r>
      <w:r w:rsidR="003439ED" w:rsidRPr="005A1F8C">
        <w:rPr>
          <w:rFonts w:cs="Arial"/>
          <w:i/>
          <w:iCs/>
        </w:rPr>
        <w:t>Pythium</w:t>
      </w:r>
      <w:r w:rsidRPr="005A1F8C">
        <w:rPr>
          <w:rFonts w:cs="Arial"/>
        </w:rPr>
        <w:t xml:space="preserve"> </w:t>
      </w:r>
      <w:r w:rsidR="003439ED" w:rsidRPr="005A1F8C">
        <w:rPr>
          <w:rFonts w:cs="Arial"/>
        </w:rPr>
        <w:t>is an</w:t>
      </w:r>
      <w:r w:rsidRPr="005A1F8C">
        <w:rPr>
          <w:rFonts w:cs="Arial"/>
        </w:rPr>
        <w:t xml:space="preserve"> economically impactful disease in West Texas peanut</w:t>
      </w:r>
      <w:r w:rsidR="002A6C6C" w:rsidRPr="005A1F8C">
        <w:rPr>
          <w:rFonts w:cs="Arial"/>
        </w:rPr>
        <w:t xml:space="preserve"> </w:t>
      </w:r>
      <w:r w:rsidR="00341062" w:rsidRPr="005A1F8C">
        <w:rPr>
          <w:rFonts w:cs="Arial"/>
        </w:rPr>
        <w:t>(</w:t>
      </w:r>
      <w:r w:rsidR="00341062" w:rsidRPr="005A1F8C">
        <w:rPr>
          <w:rFonts w:cs="Arial"/>
          <w:i/>
          <w:iCs/>
        </w:rPr>
        <w:t>Arachis</w:t>
      </w:r>
      <w:r w:rsidR="002A6C6C" w:rsidRPr="005A1F8C">
        <w:rPr>
          <w:rFonts w:cs="Arial"/>
          <w:i/>
          <w:iCs/>
        </w:rPr>
        <w:t xml:space="preserve"> hypogaea</w:t>
      </w:r>
      <w:r w:rsidR="002A6C6C" w:rsidRPr="005A1F8C">
        <w:rPr>
          <w:rFonts w:cs="Arial"/>
        </w:rPr>
        <w:t xml:space="preserve">) </w:t>
      </w:r>
      <w:r w:rsidRPr="005A1F8C">
        <w:rPr>
          <w:rFonts w:cs="Arial"/>
        </w:rPr>
        <w:t xml:space="preserve">production. While effective control methods </w:t>
      </w:r>
      <w:r w:rsidR="003439ED" w:rsidRPr="005A1F8C">
        <w:rPr>
          <w:rFonts w:cs="Arial"/>
        </w:rPr>
        <w:t xml:space="preserve">utilizing mefenoxam </w:t>
      </w:r>
      <w:r w:rsidRPr="005A1F8C">
        <w:rPr>
          <w:rFonts w:cs="Arial"/>
        </w:rPr>
        <w:t>have been identified for conventional peanut production, organic production in West Texas is constrained by limited options</w:t>
      </w:r>
      <w:r w:rsidR="00161318" w:rsidRPr="005A1F8C">
        <w:rPr>
          <w:rFonts w:cs="Arial"/>
        </w:rPr>
        <w:t xml:space="preserve">. </w:t>
      </w:r>
      <w:r w:rsidR="002A6C6C" w:rsidRPr="005A1F8C">
        <w:rPr>
          <w:rFonts w:cs="Arial"/>
        </w:rPr>
        <w:t>Th</w:t>
      </w:r>
      <w:r w:rsidR="00341062" w:rsidRPr="005A1F8C">
        <w:rPr>
          <w:rFonts w:cs="Arial"/>
        </w:rPr>
        <w:t xml:space="preserve">e objective of this study was to </w:t>
      </w:r>
      <w:r w:rsidR="003439ED" w:rsidRPr="005A1F8C">
        <w:rPr>
          <w:rFonts w:cs="Arial"/>
        </w:rPr>
        <w:t xml:space="preserve">identify products capable of reducing Pythium pod rot and </w:t>
      </w:r>
      <w:r w:rsidR="00634302" w:rsidRPr="005A1F8C">
        <w:rPr>
          <w:rFonts w:cs="Arial"/>
        </w:rPr>
        <w:t>determine</w:t>
      </w:r>
      <w:r w:rsidR="00341062" w:rsidRPr="005A1F8C">
        <w:rPr>
          <w:rFonts w:cs="Arial"/>
        </w:rPr>
        <w:t xml:space="preserve"> </w:t>
      </w:r>
      <w:r w:rsidR="002A6C6C" w:rsidRPr="005A1F8C">
        <w:rPr>
          <w:rFonts w:cs="Arial"/>
        </w:rPr>
        <w:t xml:space="preserve">the </w:t>
      </w:r>
      <w:r w:rsidR="003439ED" w:rsidRPr="005A1F8C">
        <w:rPr>
          <w:rFonts w:cs="Arial"/>
        </w:rPr>
        <w:t xml:space="preserve">optimal </w:t>
      </w:r>
      <w:r w:rsidR="002A6C6C" w:rsidRPr="005A1F8C">
        <w:rPr>
          <w:rFonts w:cs="Arial"/>
        </w:rPr>
        <w:t xml:space="preserve">timing of </w:t>
      </w:r>
      <w:r w:rsidR="00161318" w:rsidRPr="005A1F8C">
        <w:rPr>
          <w:rFonts w:cs="Arial"/>
        </w:rPr>
        <w:t xml:space="preserve">a </w:t>
      </w:r>
      <w:r w:rsidR="002A6C6C" w:rsidRPr="005A1F8C">
        <w:rPr>
          <w:rFonts w:cs="Arial"/>
        </w:rPr>
        <w:t>second application</w:t>
      </w:r>
      <w:r w:rsidR="00161318" w:rsidRPr="005A1F8C">
        <w:rPr>
          <w:rFonts w:cs="Arial"/>
        </w:rPr>
        <w:t>.</w:t>
      </w:r>
      <w:r w:rsidR="002A6C6C" w:rsidRPr="005A1F8C">
        <w:rPr>
          <w:rFonts w:cs="Arial"/>
        </w:rPr>
        <w:t xml:space="preserve"> </w:t>
      </w:r>
      <w:r w:rsidR="003439ED" w:rsidRPr="005A1F8C">
        <w:rPr>
          <w:rFonts w:cs="Arial"/>
        </w:rPr>
        <w:t>S</w:t>
      </w:r>
      <w:r w:rsidR="00634302" w:rsidRPr="005A1F8C">
        <w:rPr>
          <w:rFonts w:cs="Arial"/>
        </w:rPr>
        <w:t xml:space="preserve">oil taken from a historic </w:t>
      </w:r>
      <w:r w:rsidR="00634302" w:rsidRPr="005A1F8C">
        <w:rPr>
          <w:rFonts w:cs="Arial"/>
          <w:i/>
          <w:iCs/>
        </w:rPr>
        <w:t>Pythium</w:t>
      </w:r>
      <w:r w:rsidR="00634302" w:rsidRPr="005A1F8C">
        <w:rPr>
          <w:rFonts w:cs="Arial"/>
        </w:rPr>
        <w:t xml:space="preserve"> </w:t>
      </w:r>
      <w:r w:rsidR="003439ED" w:rsidRPr="005A1F8C">
        <w:rPr>
          <w:rFonts w:cs="Arial"/>
        </w:rPr>
        <w:t xml:space="preserve">infested </w:t>
      </w:r>
      <w:r w:rsidR="00634302" w:rsidRPr="005A1F8C">
        <w:rPr>
          <w:rFonts w:cs="Arial"/>
        </w:rPr>
        <w:t>field in Gaines County, Texas</w:t>
      </w:r>
      <w:r w:rsidR="003439ED" w:rsidRPr="005A1F8C">
        <w:rPr>
          <w:rFonts w:cs="Arial"/>
        </w:rPr>
        <w:t xml:space="preserve"> was placed in pots in a greenhouse and planted with (</w:t>
      </w:r>
      <w:r w:rsidR="00161318" w:rsidRPr="005A1F8C">
        <w:rPr>
          <w:rFonts w:cs="Arial"/>
        </w:rPr>
        <w:t>Georgia 09B</w:t>
      </w:r>
      <w:r w:rsidR="003439ED" w:rsidRPr="005A1F8C">
        <w:rPr>
          <w:rFonts w:cs="Arial"/>
        </w:rPr>
        <w:t>)</w:t>
      </w:r>
      <w:r w:rsidR="00634302" w:rsidRPr="005A1F8C">
        <w:rPr>
          <w:rFonts w:cs="Arial"/>
        </w:rPr>
        <w:t xml:space="preserve">. </w:t>
      </w:r>
      <w:r w:rsidR="003439ED" w:rsidRPr="005A1F8C">
        <w:rPr>
          <w:rFonts w:cs="Arial"/>
        </w:rPr>
        <w:t>P</w:t>
      </w:r>
      <w:r w:rsidR="002A6C6C" w:rsidRPr="005A1F8C">
        <w:rPr>
          <w:rFonts w:cs="Arial"/>
        </w:rPr>
        <w:t xml:space="preserve">roducts </w:t>
      </w:r>
      <w:r w:rsidR="003439ED" w:rsidRPr="005A1F8C">
        <w:rPr>
          <w:rFonts w:cs="Arial"/>
        </w:rPr>
        <w:t xml:space="preserve">tested included </w:t>
      </w:r>
      <w:r w:rsidR="002A6C6C" w:rsidRPr="005A1F8C">
        <w:rPr>
          <w:rFonts w:cs="Arial"/>
        </w:rPr>
        <w:t>Double-Nickle (</w:t>
      </w:r>
      <w:r w:rsidR="002A6C6C" w:rsidRPr="005A1F8C">
        <w:rPr>
          <w:rFonts w:cs="Arial"/>
          <w:i/>
          <w:iCs/>
        </w:rPr>
        <w:t>Bacillus thuringiensis</w:t>
      </w:r>
      <w:r w:rsidR="002A6C6C" w:rsidRPr="005A1F8C">
        <w:rPr>
          <w:rFonts w:cs="Arial"/>
        </w:rPr>
        <w:t>)</w:t>
      </w:r>
      <w:r w:rsidR="003439ED" w:rsidRPr="005A1F8C">
        <w:rPr>
          <w:rFonts w:cs="Arial"/>
        </w:rPr>
        <w:t xml:space="preserve">, </w:t>
      </w:r>
      <w:proofErr w:type="spellStart"/>
      <w:r w:rsidR="003439ED" w:rsidRPr="005A1F8C">
        <w:rPr>
          <w:rFonts w:cs="Arial"/>
        </w:rPr>
        <w:t>SoilGard</w:t>
      </w:r>
      <w:proofErr w:type="spellEnd"/>
      <w:r w:rsidR="00D97DD2" w:rsidRPr="005A1F8C">
        <w:rPr>
          <w:rFonts w:cs="Arial"/>
        </w:rPr>
        <w:t>,</w:t>
      </w:r>
      <w:r w:rsidR="003439ED" w:rsidRPr="005A1F8C">
        <w:rPr>
          <w:rFonts w:cs="Arial"/>
        </w:rPr>
        <w:t xml:space="preserve"> or </w:t>
      </w:r>
      <w:r w:rsidR="00D97DD2" w:rsidRPr="005A1F8C">
        <w:rPr>
          <w:rFonts w:cs="Arial"/>
        </w:rPr>
        <w:t>no treatment at planting, followed by</w:t>
      </w:r>
      <w:r w:rsidR="003439ED" w:rsidRPr="005A1F8C">
        <w:rPr>
          <w:rFonts w:cs="Arial"/>
        </w:rPr>
        <w:t xml:space="preserve"> Double-Nickle </w:t>
      </w:r>
      <w:r w:rsidR="00161318" w:rsidRPr="005A1F8C">
        <w:rPr>
          <w:rFonts w:cs="Arial"/>
        </w:rPr>
        <w:t xml:space="preserve">(DN) </w:t>
      </w:r>
      <w:r w:rsidR="003439ED" w:rsidRPr="005A1F8C">
        <w:rPr>
          <w:rFonts w:cs="Arial"/>
        </w:rPr>
        <w:t xml:space="preserve">at 14, 28, or 56 days after planting. In year 2, the </w:t>
      </w:r>
      <w:proofErr w:type="spellStart"/>
      <w:r w:rsidR="003439ED" w:rsidRPr="005A1F8C">
        <w:rPr>
          <w:rFonts w:cs="Arial"/>
        </w:rPr>
        <w:t>SoilGard</w:t>
      </w:r>
      <w:proofErr w:type="spellEnd"/>
      <w:r w:rsidR="003439ED" w:rsidRPr="005A1F8C">
        <w:rPr>
          <w:rFonts w:cs="Arial"/>
        </w:rPr>
        <w:t xml:space="preserve"> at-plant treatment was eliminated. These biologically based treatments were compared to no treatment, Abound FL, and </w:t>
      </w:r>
      <w:proofErr w:type="spellStart"/>
      <w:r w:rsidR="003439ED" w:rsidRPr="005A1F8C">
        <w:rPr>
          <w:rFonts w:cs="Arial"/>
        </w:rPr>
        <w:t>Ridomil</w:t>
      </w:r>
      <w:proofErr w:type="spellEnd"/>
      <w:r w:rsidR="003439ED" w:rsidRPr="005A1F8C">
        <w:rPr>
          <w:rFonts w:cs="Arial"/>
        </w:rPr>
        <w:t xml:space="preserve"> Gold SL</w:t>
      </w:r>
      <w:r w:rsidR="00161318" w:rsidRPr="005A1F8C">
        <w:rPr>
          <w:rFonts w:cs="Arial"/>
        </w:rPr>
        <w:t xml:space="preserve"> applied 56 days after planting</w:t>
      </w:r>
      <w:r w:rsidR="00310F64" w:rsidRPr="005A1F8C">
        <w:rPr>
          <w:rFonts w:cs="Arial"/>
        </w:rPr>
        <w:t xml:space="preserve">. </w:t>
      </w:r>
      <w:r w:rsidR="00BF6142" w:rsidRPr="005A1F8C">
        <w:rPr>
          <w:rFonts w:cs="Arial"/>
        </w:rPr>
        <w:t xml:space="preserve">As </w:t>
      </w:r>
      <w:r w:rsidR="00323CB9" w:rsidRPr="005A1F8C">
        <w:rPr>
          <w:rFonts w:cs="Arial"/>
        </w:rPr>
        <w:t>expected,</w:t>
      </w:r>
      <w:r w:rsidR="00BF6142" w:rsidRPr="005A1F8C">
        <w:rPr>
          <w:rFonts w:cs="Arial"/>
        </w:rPr>
        <w:t xml:space="preserve"> </w:t>
      </w:r>
      <w:proofErr w:type="spellStart"/>
      <w:r w:rsidR="00BF6142" w:rsidRPr="005A1F8C">
        <w:rPr>
          <w:rFonts w:cs="Arial"/>
        </w:rPr>
        <w:t>Ridomil</w:t>
      </w:r>
      <w:proofErr w:type="spellEnd"/>
      <w:r w:rsidR="00BF6142" w:rsidRPr="005A1F8C">
        <w:rPr>
          <w:rFonts w:cs="Arial"/>
        </w:rPr>
        <w:t xml:space="preserve"> Gold SL </w:t>
      </w:r>
      <w:r w:rsidR="00161318" w:rsidRPr="005A1F8C">
        <w:rPr>
          <w:rFonts w:cs="Arial"/>
        </w:rPr>
        <w:t>treated plants had the lowest pod rot in both trials, however DN applied at planting and then 28 days after planting had similar ratings (</w:t>
      </w:r>
      <w:r w:rsidR="00161318" w:rsidRPr="005A1F8C">
        <w:rPr>
          <w:rFonts w:cs="Arial"/>
          <w:i/>
          <w:iCs/>
        </w:rPr>
        <w:t>P</w:t>
      </w:r>
      <w:r w:rsidR="00161318" w:rsidRPr="005A1F8C">
        <w:rPr>
          <w:rFonts w:cs="Arial"/>
        </w:rPr>
        <w:t xml:space="preserve"> = 0.05) as </w:t>
      </w:r>
      <w:proofErr w:type="spellStart"/>
      <w:r w:rsidR="00161318" w:rsidRPr="005A1F8C">
        <w:rPr>
          <w:rFonts w:cs="Arial"/>
        </w:rPr>
        <w:t>Ridomil</w:t>
      </w:r>
      <w:proofErr w:type="spellEnd"/>
      <w:r w:rsidR="00161318" w:rsidRPr="005A1F8C">
        <w:rPr>
          <w:rFonts w:cs="Arial"/>
        </w:rPr>
        <w:t xml:space="preserve"> Gold S</w:t>
      </w:r>
      <w:r w:rsidR="0087070F" w:rsidRPr="005A1F8C">
        <w:rPr>
          <w:rFonts w:cs="Arial"/>
        </w:rPr>
        <w:t>L</w:t>
      </w:r>
      <w:r w:rsidR="00161318" w:rsidRPr="005A1F8C">
        <w:rPr>
          <w:rFonts w:cs="Arial"/>
        </w:rPr>
        <w:t xml:space="preserve"> in both trials. DN applied at 56 days after planting had similar pod rot ratings as </w:t>
      </w:r>
      <w:proofErr w:type="spellStart"/>
      <w:r w:rsidR="00161318" w:rsidRPr="005A1F8C">
        <w:rPr>
          <w:rFonts w:cs="Arial"/>
        </w:rPr>
        <w:t>Ridomil</w:t>
      </w:r>
      <w:proofErr w:type="spellEnd"/>
      <w:r w:rsidR="00161318" w:rsidRPr="005A1F8C">
        <w:rPr>
          <w:rFonts w:cs="Arial"/>
        </w:rPr>
        <w:t xml:space="preserve"> Gold S</w:t>
      </w:r>
      <w:r w:rsidR="0087070F" w:rsidRPr="005A1F8C">
        <w:rPr>
          <w:rFonts w:cs="Arial"/>
        </w:rPr>
        <w:t>L</w:t>
      </w:r>
      <w:r w:rsidR="00161318" w:rsidRPr="005A1F8C">
        <w:rPr>
          <w:rFonts w:cs="Arial"/>
        </w:rPr>
        <w:t xml:space="preserve"> in trial 2, but had more pod rot than </w:t>
      </w:r>
      <w:proofErr w:type="spellStart"/>
      <w:r w:rsidR="00161318" w:rsidRPr="005A1F8C">
        <w:rPr>
          <w:rFonts w:cs="Arial"/>
        </w:rPr>
        <w:t>Ridomil</w:t>
      </w:r>
      <w:proofErr w:type="spellEnd"/>
      <w:r w:rsidR="00161318" w:rsidRPr="005A1F8C">
        <w:rPr>
          <w:rFonts w:cs="Arial"/>
        </w:rPr>
        <w:t xml:space="preserve"> Gold S</w:t>
      </w:r>
      <w:r w:rsidR="0087070F" w:rsidRPr="005A1F8C">
        <w:rPr>
          <w:rFonts w:cs="Arial"/>
        </w:rPr>
        <w:t>L</w:t>
      </w:r>
      <w:r w:rsidR="00161318" w:rsidRPr="005A1F8C">
        <w:rPr>
          <w:rFonts w:cs="Arial"/>
        </w:rPr>
        <w:t xml:space="preserve"> in trial 1.</w:t>
      </w:r>
      <w:r w:rsidR="0087070F" w:rsidRPr="005A1F8C">
        <w:rPr>
          <w:rFonts w:cs="Arial"/>
        </w:rPr>
        <w:t xml:space="preserve"> Results suggest Pythium suppression in organic systems can approach conventional standards while minimizing the economic impacts of frequent applications. </w:t>
      </w:r>
    </w:p>
    <w:p w14:paraId="1543CBE2" w14:textId="64A301E8" w:rsidR="005C2584" w:rsidRPr="00161318" w:rsidRDefault="005C2584">
      <w:pPr>
        <w:rPr>
          <w:rFonts w:cs="Arial"/>
        </w:rPr>
      </w:pPr>
    </w:p>
    <w:sectPr w:rsidR="005C2584" w:rsidRPr="00161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584"/>
    <w:rsid w:val="00026A1B"/>
    <w:rsid w:val="00161318"/>
    <w:rsid w:val="002A6C6C"/>
    <w:rsid w:val="00310F64"/>
    <w:rsid w:val="00323CB9"/>
    <w:rsid w:val="00341062"/>
    <w:rsid w:val="003439ED"/>
    <w:rsid w:val="005A1F8C"/>
    <w:rsid w:val="005C2584"/>
    <w:rsid w:val="00634302"/>
    <w:rsid w:val="006D5119"/>
    <w:rsid w:val="00730A7B"/>
    <w:rsid w:val="00745B04"/>
    <w:rsid w:val="007A6C93"/>
    <w:rsid w:val="0087070F"/>
    <w:rsid w:val="008E79C9"/>
    <w:rsid w:val="00A50B64"/>
    <w:rsid w:val="00AB4718"/>
    <w:rsid w:val="00BA5DEA"/>
    <w:rsid w:val="00BD7826"/>
    <w:rsid w:val="00BF6142"/>
    <w:rsid w:val="00D71FE4"/>
    <w:rsid w:val="00D97DD2"/>
    <w:rsid w:val="00F3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0A253"/>
  <w15:chartTrackingRefBased/>
  <w15:docId w15:val="{B0188261-DB27-4134-B91A-83ABAC45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5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25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5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25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25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25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25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25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25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5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25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5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25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25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25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25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25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25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25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25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25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25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25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25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25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25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25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25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2584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3439E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313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313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3135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3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3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1567</Characters>
  <Application>Microsoft Office Word</Application>
  <DocSecurity>0</DocSecurity>
  <Lines>25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Keegan McCollum</dc:creator>
  <cp:keywords/>
  <dc:description/>
  <cp:lastModifiedBy>Keegan McCollum</cp:lastModifiedBy>
  <cp:revision>2</cp:revision>
  <dcterms:created xsi:type="dcterms:W3CDTF">2026-03-31T22:23:00Z</dcterms:created>
  <dcterms:modified xsi:type="dcterms:W3CDTF">2026-03-31T22:23:00Z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fbb306eb-c345-4924-853f-d81d44c1d609</vt:lpwstr>
  </property>
</Properties>
</file>