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946F" w14:textId="29B5F37E" w:rsidR="00734C9D" w:rsidRPr="00B05D92" w:rsidRDefault="009A14D8" w:rsidP="00734C9D">
      <w:pPr>
        <w:spacing w:after="120" w:line="240" w:lineRule="auto"/>
        <w:rPr>
          <w:rFonts w:asciiTheme="minorHAnsi" w:hAnsiTheme="minorHAnsi" w:cs="Arial"/>
          <w:b/>
        </w:rPr>
      </w:pPr>
      <w:r w:rsidRPr="00B05D92">
        <w:rPr>
          <w:rFonts w:asciiTheme="minorHAnsi" w:hAnsiTheme="minorHAnsi" w:cs="Arial"/>
          <w:b/>
        </w:rPr>
        <w:t xml:space="preserve">Identification </w:t>
      </w:r>
      <w:r w:rsidR="00FD6272">
        <w:rPr>
          <w:rFonts w:asciiTheme="minorHAnsi" w:hAnsiTheme="minorHAnsi" w:cs="Arial"/>
          <w:b/>
        </w:rPr>
        <w:t>o</w:t>
      </w:r>
      <w:r w:rsidR="00FD6272" w:rsidRPr="00B05D92">
        <w:rPr>
          <w:rFonts w:asciiTheme="minorHAnsi" w:hAnsiTheme="minorHAnsi" w:cs="Arial"/>
          <w:b/>
        </w:rPr>
        <w:t xml:space="preserve">f </w:t>
      </w:r>
      <w:r w:rsidR="00FD6272">
        <w:rPr>
          <w:rFonts w:asciiTheme="minorHAnsi" w:hAnsiTheme="minorHAnsi" w:cs="Arial"/>
          <w:b/>
        </w:rPr>
        <w:t>a</w:t>
      </w:r>
      <w:r w:rsidR="00FD6272" w:rsidRPr="00B05D92">
        <w:rPr>
          <w:rFonts w:asciiTheme="minorHAnsi" w:hAnsiTheme="minorHAnsi" w:cs="Arial"/>
          <w:b/>
        </w:rPr>
        <w:t xml:space="preserve"> Large Effect </w:t>
      </w:r>
      <w:r w:rsidRPr="00B05D92">
        <w:rPr>
          <w:rFonts w:asciiTheme="minorHAnsi" w:hAnsiTheme="minorHAnsi" w:cs="Arial"/>
          <w:b/>
        </w:rPr>
        <w:t xml:space="preserve">QTL </w:t>
      </w:r>
      <w:r w:rsidR="00FD6272">
        <w:rPr>
          <w:rFonts w:asciiTheme="minorHAnsi" w:hAnsiTheme="minorHAnsi" w:cs="Arial"/>
          <w:b/>
        </w:rPr>
        <w:t>f</w:t>
      </w:r>
      <w:r w:rsidR="00FD6272" w:rsidRPr="00B05D92">
        <w:rPr>
          <w:rFonts w:asciiTheme="minorHAnsi" w:hAnsiTheme="minorHAnsi" w:cs="Arial"/>
          <w:b/>
        </w:rPr>
        <w:t>or Peanut Stem Rot Resistance</w:t>
      </w:r>
    </w:p>
    <w:p w14:paraId="08F3A428" w14:textId="39C0F327" w:rsidR="001F6D79" w:rsidRPr="00CD6F32" w:rsidRDefault="00097C84" w:rsidP="004156DF">
      <w:pPr>
        <w:spacing w:after="240" w:line="240" w:lineRule="auto"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b/>
          <w:bCs/>
          <w:szCs w:val="24"/>
        </w:rPr>
        <w:t>B</w:t>
      </w:r>
      <w:r w:rsidR="001043D5" w:rsidRPr="00CD6F32">
        <w:rPr>
          <w:rFonts w:asciiTheme="minorHAnsi" w:hAnsiTheme="minorHAnsi" w:cs="Arial"/>
          <w:b/>
          <w:bCs/>
          <w:szCs w:val="24"/>
        </w:rPr>
        <w:t>ISWAL</w:t>
      </w:r>
      <w:r w:rsidRPr="00CD6F32">
        <w:rPr>
          <w:rFonts w:asciiTheme="minorHAnsi" w:hAnsiTheme="minorHAnsi" w:cs="Arial"/>
          <w:b/>
          <w:bCs/>
          <w:szCs w:val="24"/>
        </w:rPr>
        <w:t xml:space="preserve">, </w:t>
      </w:r>
      <w:r w:rsidR="00716511" w:rsidRPr="00CD6F32">
        <w:rPr>
          <w:rFonts w:asciiTheme="minorHAnsi" w:hAnsiTheme="minorHAnsi" w:cs="Arial"/>
          <w:b/>
          <w:bCs/>
          <w:szCs w:val="24"/>
        </w:rPr>
        <w:t>A</w:t>
      </w:r>
      <w:r w:rsidRPr="00CD6F32">
        <w:rPr>
          <w:rFonts w:asciiTheme="minorHAnsi" w:hAnsiTheme="minorHAnsi" w:cs="Arial"/>
          <w:b/>
          <w:bCs/>
          <w:szCs w:val="24"/>
        </w:rPr>
        <w:t>.</w:t>
      </w:r>
      <w:r w:rsidR="00716511" w:rsidRPr="00CD6F32">
        <w:rPr>
          <w:rFonts w:asciiTheme="minorHAnsi" w:hAnsiTheme="minorHAnsi" w:cs="Arial"/>
          <w:b/>
          <w:bCs/>
          <w:szCs w:val="24"/>
        </w:rPr>
        <w:t xml:space="preserve"> K</w:t>
      </w:r>
      <w:r w:rsidRPr="00CD6F32">
        <w:rPr>
          <w:rFonts w:asciiTheme="minorHAnsi" w:hAnsiTheme="minorHAnsi" w:cs="Arial"/>
          <w:b/>
          <w:bCs/>
          <w:szCs w:val="24"/>
        </w:rPr>
        <w:t>.</w:t>
      </w:r>
      <w:r w:rsidR="001F6D79" w:rsidRPr="00CD6F32">
        <w:rPr>
          <w:rFonts w:asciiTheme="minorHAnsi" w:hAnsiTheme="minorHAnsi" w:cs="Arial"/>
          <w:b/>
          <w:bCs/>
          <w:szCs w:val="24"/>
          <w:vertAlign w:val="superscript"/>
        </w:rPr>
        <w:t>1</w:t>
      </w:r>
      <w:r w:rsidR="00782DE8" w:rsidRPr="00CD6F32">
        <w:rPr>
          <w:rFonts w:asciiTheme="minorHAnsi" w:hAnsiTheme="minorHAnsi" w:cs="Arial"/>
          <w:b/>
          <w:bCs/>
          <w:szCs w:val="24"/>
          <w:vertAlign w:val="superscript"/>
        </w:rPr>
        <w:t>,2</w:t>
      </w:r>
      <w:r w:rsidR="00716511" w:rsidRPr="002C3872">
        <w:rPr>
          <w:rFonts w:asciiTheme="minorHAnsi" w:hAnsiTheme="minorHAnsi" w:cs="Arial"/>
          <w:szCs w:val="24"/>
        </w:rPr>
        <w:t xml:space="preserve">, </w:t>
      </w:r>
      <w:r w:rsidR="001F6D79" w:rsidRPr="002C3872">
        <w:rPr>
          <w:rFonts w:asciiTheme="minorHAnsi" w:hAnsiTheme="minorHAnsi" w:cs="Arial"/>
          <w:szCs w:val="24"/>
        </w:rPr>
        <w:t>Wright, H.</w:t>
      </w:r>
      <w:r w:rsidR="00E76FF5" w:rsidRPr="002C3872">
        <w:rPr>
          <w:rFonts w:asciiTheme="minorHAnsi" w:hAnsiTheme="minorHAnsi" w:cs="Arial"/>
          <w:szCs w:val="24"/>
          <w:vertAlign w:val="superscript"/>
        </w:rPr>
        <w:t>3</w:t>
      </w:r>
      <w:r w:rsidR="001F6D79" w:rsidRPr="002C3872">
        <w:rPr>
          <w:rFonts w:asciiTheme="minorHAnsi" w:hAnsiTheme="minorHAnsi" w:cs="Arial"/>
          <w:szCs w:val="24"/>
        </w:rPr>
        <w:t xml:space="preserve">, </w:t>
      </w:r>
      <w:r w:rsidR="00D5756A" w:rsidRPr="002C3872">
        <w:rPr>
          <w:rFonts w:asciiTheme="minorHAnsi" w:hAnsiTheme="minorHAnsi" w:cs="Arial"/>
          <w:szCs w:val="24"/>
        </w:rPr>
        <w:t>Nugraha, G</w:t>
      </w:r>
      <w:r w:rsidR="00B77444" w:rsidRPr="002C3872">
        <w:rPr>
          <w:rFonts w:asciiTheme="minorHAnsi" w:hAnsiTheme="minorHAnsi" w:cs="Arial"/>
          <w:szCs w:val="24"/>
        </w:rPr>
        <w:t>.</w:t>
      </w:r>
      <w:r w:rsidR="00D5756A" w:rsidRPr="002C3872">
        <w:rPr>
          <w:rFonts w:asciiTheme="minorHAnsi" w:hAnsiTheme="minorHAnsi" w:cs="Arial"/>
          <w:szCs w:val="24"/>
        </w:rPr>
        <w:t>T.</w:t>
      </w:r>
      <w:r w:rsidR="000823A9" w:rsidRPr="002C3872">
        <w:rPr>
          <w:rFonts w:asciiTheme="minorHAnsi" w:hAnsiTheme="minorHAnsi" w:cs="Arial"/>
          <w:szCs w:val="24"/>
          <w:vertAlign w:val="superscript"/>
        </w:rPr>
        <w:t>2</w:t>
      </w:r>
      <w:r w:rsidR="00D5756A" w:rsidRPr="002C3872">
        <w:rPr>
          <w:rFonts w:asciiTheme="minorHAnsi" w:hAnsiTheme="minorHAnsi" w:cs="Arial"/>
          <w:szCs w:val="24"/>
        </w:rPr>
        <w:t xml:space="preserve">, </w:t>
      </w:r>
      <w:r w:rsidR="00A03103" w:rsidRPr="002C3872">
        <w:rPr>
          <w:rFonts w:asciiTheme="minorHAnsi" w:hAnsiTheme="minorHAnsi" w:cs="Arial"/>
          <w:szCs w:val="24"/>
        </w:rPr>
        <w:t>C</w:t>
      </w:r>
      <w:r w:rsidR="006B588A" w:rsidRPr="002C3872">
        <w:rPr>
          <w:rFonts w:asciiTheme="minorHAnsi" w:hAnsiTheme="minorHAnsi" w:cs="Arial"/>
          <w:szCs w:val="24"/>
        </w:rPr>
        <w:t>levenger</w:t>
      </w:r>
      <w:r w:rsidR="00A03103" w:rsidRPr="002C3872">
        <w:rPr>
          <w:rFonts w:asciiTheme="minorHAnsi" w:hAnsiTheme="minorHAnsi" w:cs="Arial"/>
          <w:szCs w:val="24"/>
        </w:rPr>
        <w:t>, J.</w:t>
      </w:r>
      <w:r w:rsidR="003159CA" w:rsidRPr="002C3872">
        <w:rPr>
          <w:rFonts w:asciiTheme="minorHAnsi" w:hAnsiTheme="minorHAnsi" w:cs="Arial"/>
          <w:szCs w:val="24"/>
          <w:vertAlign w:val="superscript"/>
        </w:rPr>
        <w:t>3</w:t>
      </w:r>
      <w:r w:rsidR="007C59C3" w:rsidRPr="002C3872">
        <w:rPr>
          <w:rFonts w:asciiTheme="minorHAnsi" w:hAnsiTheme="minorHAnsi" w:cs="Arial"/>
          <w:szCs w:val="24"/>
        </w:rPr>
        <w:t xml:space="preserve">, </w:t>
      </w:r>
      <w:r w:rsidR="007F05DC" w:rsidRPr="002C3872">
        <w:rPr>
          <w:rFonts w:asciiTheme="minorHAnsi" w:hAnsiTheme="minorHAnsi" w:cs="Arial"/>
          <w:szCs w:val="24"/>
        </w:rPr>
        <w:t>Oliviera, C</w:t>
      </w:r>
      <w:r w:rsidR="003159CA" w:rsidRPr="002C3872">
        <w:rPr>
          <w:rFonts w:asciiTheme="minorHAnsi" w:hAnsiTheme="minorHAnsi" w:cs="Arial"/>
          <w:szCs w:val="24"/>
          <w:vertAlign w:val="superscript"/>
        </w:rPr>
        <w:t>4</w:t>
      </w:r>
      <w:r w:rsidR="007F05DC" w:rsidRPr="002C3872">
        <w:rPr>
          <w:rFonts w:asciiTheme="minorHAnsi" w:hAnsiTheme="minorHAnsi" w:cs="Arial"/>
          <w:szCs w:val="24"/>
        </w:rPr>
        <w:t xml:space="preserve">, </w:t>
      </w:r>
      <w:r w:rsidR="007C59C3" w:rsidRPr="002C3872">
        <w:rPr>
          <w:rFonts w:asciiTheme="minorHAnsi" w:hAnsiTheme="minorHAnsi" w:cs="Arial"/>
          <w:szCs w:val="24"/>
        </w:rPr>
        <w:t>H</w:t>
      </w:r>
      <w:r w:rsidR="007F05DC" w:rsidRPr="002C3872">
        <w:rPr>
          <w:rFonts w:asciiTheme="minorHAnsi" w:hAnsiTheme="minorHAnsi" w:cs="Arial"/>
          <w:szCs w:val="24"/>
        </w:rPr>
        <w:t>ovav</w:t>
      </w:r>
      <w:r w:rsidR="007C59C3" w:rsidRPr="002C3872">
        <w:rPr>
          <w:rFonts w:asciiTheme="minorHAnsi" w:hAnsiTheme="minorHAnsi" w:cs="Arial"/>
          <w:szCs w:val="24"/>
        </w:rPr>
        <w:t>, R.</w:t>
      </w:r>
      <w:r w:rsidR="003159CA" w:rsidRPr="002C3872">
        <w:rPr>
          <w:rFonts w:asciiTheme="minorHAnsi" w:hAnsiTheme="minorHAnsi" w:cs="Arial"/>
          <w:szCs w:val="24"/>
          <w:vertAlign w:val="superscript"/>
        </w:rPr>
        <w:t>5</w:t>
      </w:r>
      <w:r w:rsidR="007C59C3" w:rsidRPr="002C3872">
        <w:rPr>
          <w:rFonts w:asciiTheme="minorHAnsi" w:hAnsiTheme="minorHAnsi" w:cs="Arial"/>
          <w:szCs w:val="24"/>
        </w:rPr>
        <w:t>, H</w:t>
      </w:r>
      <w:r w:rsidR="007F05DC" w:rsidRPr="002C3872">
        <w:rPr>
          <w:rFonts w:asciiTheme="minorHAnsi" w:hAnsiTheme="minorHAnsi" w:cs="Arial"/>
          <w:szCs w:val="24"/>
        </w:rPr>
        <w:t>olbrook</w:t>
      </w:r>
      <w:r w:rsidR="002C3872">
        <w:rPr>
          <w:rFonts w:asciiTheme="minorHAnsi" w:hAnsiTheme="minorHAnsi" w:cs="Arial"/>
          <w:szCs w:val="24"/>
        </w:rPr>
        <w:t>,</w:t>
      </w:r>
      <w:r w:rsidR="007C59C3" w:rsidRPr="002C3872">
        <w:rPr>
          <w:rFonts w:asciiTheme="minorHAnsi" w:hAnsiTheme="minorHAnsi" w:cs="Arial"/>
          <w:szCs w:val="24"/>
        </w:rPr>
        <w:t xml:space="preserve"> C.C.</w:t>
      </w:r>
      <w:r w:rsidR="002D31FF" w:rsidRPr="002C3872">
        <w:rPr>
          <w:rFonts w:asciiTheme="minorHAnsi" w:hAnsiTheme="minorHAnsi" w:cs="Arial"/>
          <w:szCs w:val="24"/>
          <w:vertAlign w:val="superscript"/>
        </w:rPr>
        <w:t>6</w:t>
      </w:r>
      <w:r w:rsidR="007C59C3" w:rsidRPr="002C3872">
        <w:rPr>
          <w:rFonts w:asciiTheme="minorHAnsi" w:hAnsiTheme="minorHAnsi" w:cs="Arial"/>
          <w:szCs w:val="24"/>
        </w:rPr>
        <w:t>, B</w:t>
      </w:r>
      <w:r w:rsidR="007F05DC" w:rsidRPr="002C3872">
        <w:rPr>
          <w:rFonts w:asciiTheme="minorHAnsi" w:hAnsiTheme="minorHAnsi" w:cs="Arial"/>
          <w:szCs w:val="24"/>
        </w:rPr>
        <w:t>renneman</w:t>
      </w:r>
      <w:r w:rsidR="007C59C3" w:rsidRPr="002C3872">
        <w:rPr>
          <w:rFonts w:asciiTheme="minorHAnsi" w:hAnsiTheme="minorHAnsi" w:cs="Arial"/>
          <w:szCs w:val="24"/>
        </w:rPr>
        <w:t>, T.</w:t>
      </w:r>
      <w:r w:rsidR="000823A9" w:rsidRPr="002C3872">
        <w:rPr>
          <w:rFonts w:asciiTheme="minorHAnsi" w:hAnsiTheme="minorHAnsi" w:cs="Arial"/>
          <w:szCs w:val="24"/>
          <w:vertAlign w:val="superscript"/>
        </w:rPr>
        <w:t>4</w:t>
      </w:r>
      <w:r w:rsidR="00B63B68" w:rsidRPr="002C3872">
        <w:rPr>
          <w:rFonts w:asciiTheme="minorHAnsi" w:hAnsiTheme="minorHAnsi" w:cs="Arial"/>
          <w:szCs w:val="24"/>
        </w:rPr>
        <w:t xml:space="preserve"> and</w:t>
      </w:r>
      <w:r w:rsidR="0011680F" w:rsidRPr="002C3872">
        <w:rPr>
          <w:rFonts w:asciiTheme="minorHAnsi" w:hAnsiTheme="minorHAnsi" w:cs="Arial"/>
          <w:szCs w:val="24"/>
        </w:rPr>
        <w:t xml:space="preserve"> Ozias-Akins, P.</w:t>
      </w:r>
      <w:r w:rsidR="0011680F" w:rsidRPr="002C3872">
        <w:rPr>
          <w:rFonts w:asciiTheme="minorHAnsi" w:hAnsiTheme="minorHAnsi" w:cs="Arial"/>
          <w:szCs w:val="24"/>
          <w:vertAlign w:val="superscript"/>
        </w:rPr>
        <w:t>1,2</w:t>
      </w:r>
    </w:p>
    <w:p w14:paraId="225DCBD6" w14:textId="06232E6F" w:rsidR="00E53979" w:rsidRPr="00CD6F32" w:rsidRDefault="007F05DC" w:rsidP="00E53979">
      <w:pPr>
        <w:spacing w:after="100" w:afterAutospacing="1" w:line="240" w:lineRule="auto"/>
        <w:contextualSpacing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b/>
          <w:bCs/>
          <w:szCs w:val="24"/>
          <w:vertAlign w:val="superscript"/>
        </w:rPr>
        <w:t>1</w:t>
      </w:r>
      <w:r w:rsidRPr="00CD6F32">
        <w:rPr>
          <w:rFonts w:asciiTheme="minorHAnsi" w:hAnsiTheme="minorHAnsi" w:cs="Arial"/>
          <w:szCs w:val="24"/>
        </w:rPr>
        <w:t xml:space="preserve">Department of Horticulture, University of Georgia, Tifton, GA 31793 </w:t>
      </w:r>
    </w:p>
    <w:p w14:paraId="1C85D772" w14:textId="73EE91D7" w:rsidR="00E76FF5" w:rsidRPr="00CD6F32" w:rsidRDefault="007F05DC" w:rsidP="00E53979">
      <w:pPr>
        <w:spacing w:after="100" w:afterAutospacing="1" w:line="240" w:lineRule="auto"/>
        <w:contextualSpacing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b/>
          <w:bCs/>
          <w:szCs w:val="24"/>
          <w:vertAlign w:val="superscript"/>
        </w:rPr>
        <w:t>2</w:t>
      </w:r>
      <w:r w:rsidR="00035921" w:rsidRPr="00CD6F32">
        <w:rPr>
          <w:rFonts w:asciiTheme="minorHAnsi" w:hAnsiTheme="minorHAnsi" w:cs="Arial"/>
          <w:szCs w:val="24"/>
        </w:rPr>
        <w:t xml:space="preserve">Institute of Plant Breeding, Genetics &amp; Genomics, University of Georgia, </w:t>
      </w:r>
      <w:r w:rsidR="00782DE8" w:rsidRPr="00CD6F32">
        <w:rPr>
          <w:rFonts w:asciiTheme="minorHAnsi" w:hAnsiTheme="minorHAnsi" w:cs="Arial"/>
          <w:szCs w:val="24"/>
        </w:rPr>
        <w:t>Tifton</w:t>
      </w:r>
      <w:r w:rsidR="00035921" w:rsidRPr="00CD6F32">
        <w:rPr>
          <w:rFonts w:asciiTheme="minorHAnsi" w:hAnsiTheme="minorHAnsi" w:cs="Arial"/>
          <w:szCs w:val="24"/>
        </w:rPr>
        <w:t>, GA</w:t>
      </w:r>
      <w:r w:rsidR="00E76FF5" w:rsidRPr="00CD6F32">
        <w:rPr>
          <w:rFonts w:asciiTheme="minorHAnsi" w:hAnsiTheme="minorHAnsi" w:cs="Arial"/>
          <w:szCs w:val="24"/>
        </w:rPr>
        <w:t xml:space="preserve"> 31793</w:t>
      </w:r>
    </w:p>
    <w:p w14:paraId="07424FF6" w14:textId="113D47F4" w:rsidR="00D55683" w:rsidRPr="00CD6F32" w:rsidRDefault="0032777A" w:rsidP="00E53979">
      <w:pPr>
        <w:spacing w:after="100" w:afterAutospacing="1" w:line="240" w:lineRule="auto"/>
        <w:contextualSpacing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szCs w:val="24"/>
          <w:vertAlign w:val="superscript"/>
        </w:rPr>
        <w:t>3</w:t>
      </w:r>
      <w:r w:rsidRPr="00CD6F32">
        <w:rPr>
          <w:rFonts w:asciiTheme="minorHAnsi" w:hAnsiTheme="minorHAnsi" w:cs="Arial"/>
          <w:szCs w:val="24"/>
        </w:rPr>
        <w:t>HudsonAlpha Institute for Biotechnology, Huntsville, AL 35806</w:t>
      </w:r>
    </w:p>
    <w:p w14:paraId="6C69E6AE" w14:textId="62B0A34F" w:rsidR="007C59C3" w:rsidRPr="00CD6F32" w:rsidRDefault="006B588A" w:rsidP="00E53979">
      <w:pPr>
        <w:spacing w:after="100" w:afterAutospacing="1" w:line="240" w:lineRule="auto"/>
        <w:contextualSpacing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szCs w:val="24"/>
          <w:vertAlign w:val="superscript"/>
        </w:rPr>
        <w:t>4</w:t>
      </w:r>
      <w:r w:rsidR="008A3E97" w:rsidRPr="00CD6F32">
        <w:rPr>
          <w:rFonts w:asciiTheme="minorHAnsi" w:hAnsiTheme="minorHAnsi" w:cs="Arial"/>
          <w:szCs w:val="24"/>
        </w:rPr>
        <w:t xml:space="preserve">Department of Plant Pathology, </w:t>
      </w:r>
      <w:r w:rsidR="00A14899" w:rsidRPr="00CD6F32">
        <w:rPr>
          <w:rFonts w:asciiTheme="minorHAnsi" w:hAnsiTheme="minorHAnsi" w:cs="Arial"/>
          <w:szCs w:val="24"/>
        </w:rPr>
        <w:t>University of Georgia, Tifton, GA 31793</w:t>
      </w:r>
      <w:r w:rsidR="00EA7F5F" w:rsidRPr="00CD6F32">
        <w:rPr>
          <w:rFonts w:asciiTheme="minorHAnsi" w:hAnsiTheme="minorHAnsi" w:cs="Arial"/>
          <w:szCs w:val="24"/>
        </w:rPr>
        <w:t xml:space="preserve">, </w:t>
      </w:r>
    </w:p>
    <w:p w14:paraId="1DCC8D5F" w14:textId="47B50239" w:rsidR="007C59C3" w:rsidRPr="00CD6F32" w:rsidRDefault="00E53979" w:rsidP="00E53979">
      <w:pPr>
        <w:spacing w:after="100" w:afterAutospacing="1" w:line="240" w:lineRule="auto"/>
        <w:contextualSpacing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szCs w:val="24"/>
          <w:vertAlign w:val="superscript"/>
        </w:rPr>
        <w:t>5</w:t>
      </w:r>
      <w:r w:rsidR="000738BA" w:rsidRPr="00CD6F32">
        <w:rPr>
          <w:rFonts w:asciiTheme="minorHAnsi" w:hAnsiTheme="minorHAnsi" w:cs="Arial"/>
          <w:szCs w:val="24"/>
        </w:rPr>
        <w:t>Agricultural Research Organization (ARO)</w:t>
      </w:r>
      <w:r w:rsidR="0037380D" w:rsidRPr="00CD6F32">
        <w:rPr>
          <w:rFonts w:asciiTheme="minorHAnsi" w:hAnsiTheme="minorHAnsi" w:cs="Arial"/>
          <w:szCs w:val="24"/>
        </w:rPr>
        <w:t xml:space="preserve">, </w:t>
      </w:r>
      <w:r w:rsidR="000738BA" w:rsidRPr="00CD6F32">
        <w:rPr>
          <w:rFonts w:asciiTheme="minorHAnsi" w:hAnsiTheme="minorHAnsi" w:cs="Arial"/>
          <w:szCs w:val="24"/>
        </w:rPr>
        <w:t>Rishon Le</w:t>
      </w:r>
      <w:r w:rsidR="00026C30">
        <w:rPr>
          <w:rFonts w:asciiTheme="minorHAnsi" w:hAnsiTheme="minorHAnsi" w:cs="Arial"/>
          <w:szCs w:val="24"/>
        </w:rPr>
        <w:t>z</w:t>
      </w:r>
      <w:r w:rsidR="000738BA" w:rsidRPr="00CD6F32">
        <w:rPr>
          <w:rFonts w:asciiTheme="minorHAnsi" w:hAnsiTheme="minorHAnsi" w:cs="Arial"/>
          <w:szCs w:val="24"/>
        </w:rPr>
        <w:t>ion, Israel</w:t>
      </w:r>
      <w:r w:rsidR="0024385E" w:rsidRPr="00CD6F32">
        <w:rPr>
          <w:rFonts w:asciiTheme="minorHAnsi" w:hAnsiTheme="minorHAnsi" w:cs="Arial"/>
          <w:szCs w:val="24"/>
        </w:rPr>
        <w:t xml:space="preserve"> </w:t>
      </w:r>
    </w:p>
    <w:p w14:paraId="254D7AFC" w14:textId="0E64AB5B" w:rsidR="00942935" w:rsidRPr="00CD6F32" w:rsidRDefault="00E53979" w:rsidP="004156DF">
      <w:pPr>
        <w:spacing w:after="240" w:line="240" w:lineRule="auto"/>
        <w:rPr>
          <w:rFonts w:asciiTheme="minorHAnsi" w:hAnsiTheme="minorHAnsi" w:cs="Arial"/>
          <w:szCs w:val="24"/>
        </w:rPr>
      </w:pPr>
      <w:r w:rsidRPr="00CD6F32">
        <w:rPr>
          <w:rFonts w:asciiTheme="minorHAnsi" w:hAnsiTheme="minorHAnsi" w:cs="Arial"/>
          <w:szCs w:val="24"/>
          <w:vertAlign w:val="superscript"/>
        </w:rPr>
        <w:t>6</w:t>
      </w:r>
      <w:r w:rsidR="005126D5" w:rsidRPr="005126D5">
        <w:rPr>
          <w:rFonts w:asciiTheme="minorHAnsi" w:hAnsiTheme="minorHAnsi" w:cs="Arial"/>
          <w:szCs w:val="24"/>
        </w:rPr>
        <w:t>U.S. Department of Agriculture</w:t>
      </w:r>
      <w:r w:rsidR="002747EA" w:rsidRPr="00CD6F32">
        <w:rPr>
          <w:rFonts w:asciiTheme="minorHAnsi" w:hAnsiTheme="minorHAnsi" w:cs="Arial"/>
          <w:szCs w:val="24"/>
        </w:rPr>
        <w:t>-ARS Coastal Plain Experiment Station, Tifton, GA USA 31793</w:t>
      </w:r>
      <w:r w:rsidR="00712DD0" w:rsidRPr="00CD6F32">
        <w:rPr>
          <w:rFonts w:asciiTheme="minorHAnsi" w:hAnsiTheme="minorHAnsi" w:cs="Arial"/>
          <w:szCs w:val="24"/>
        </w:rPr>
        <w:t>.</w:t>
      </w:r>
    </w:p>
    <w:p w14:paraId="740B95F4" w14:textId="6B605774" w:rsidR="00734C9D" w:rsidRPr="00CD6F32" w:rsidRDefault="008213DE" w:rsidP="00734C9D">
      <w:pPr>
        <w:spacing w:line="240" w:lineRule="auto"/>
        <w:jc w:val="both"/>
        <w:rPr>
          <w:rFonts w:asciiTheme="minorHAnsi" w:hAnsiTheme="minorHAnsi" w:cs="Arial"/>
          <w:szCs w:val="24"/>
        </w:rPr>
      </w:pPr>
      <w:r w:rsidRPr="00B63B68">
        <w:rPr>
          <w:rFonts w:asciiTheme="minorHAnsi" w:hAnsiTheme="minorHAnsi" w:cs="Arial"/>
          <w:szCs w:val="24"/>
        </w:rPr>
        <w:t xml:space="preserve">Peanut stem rot, caused by the soilborne fungus </w:t>
      </w:r>
      <w:r w:rsidRPr="00B63B68">
        <w:rPr>
          <w:rFonts w:asciiTheme="minorHAnsi" w:hAnsiTheme="minorHAnsi" w:cs="Arial"/>
          <w:i/>
          <w:iCs/>
          <w:szCs w:val="24"/>
        </w:rPr>
        <w:t>Agroathelia rolfsii</w:t>
      </w:r>
      <w:r w:rsidRPr="00B63B68">
        <w:rPr>
          <w:rFonts w:asciiTheme="minorHAnsi" w:hAnsiTheme="minorHAnsi" w:cs="Arial"/>
          <w:szCs w:val="24"/>
        </w:rPr>
        <w:t xml:space="preserve">, </w:t>
      </w:r>
      <w:r w:rsidR="00D15BC4" w:rsidRPr="00B63B68">
        <w:rPr>
          <w:rFonts w:asciiTheme="minorHAnsi" w:hAnsiTheme="minorHAnsi" w:cs="Arial"/>
          <w:szCs w:val="24"/>
        </w:rPr>
        <w:t>accounts for</w:t>
      </w:r>
      <w:r w:rsidRPr="00B63B68">
        <w:rPr>
          <w:rFonts w:asciiTheme="minorHAnsi" w:hAnsiTheme="minorHAnsi" w:cs="Arial"/>
          <w:szCs w:val="24"/>
        </w:rPr>
        <w:t xml:space="preserve"> annual losses of $60–80 million for Georgia farmers</w:t>
      </w:r>
      <w:r w:rsidR="00EA4927" w:rsidRPr="00B63B68">
        <w:rPr>
          <w:rFonts w:asciiTheme="minorHAnsi" w:hAnsiTheme="minorHAnsi" w:cs="Arial"/>
          <w:szCs w:val="24"/>
        </w:rPr>
        <w:t xml:space="preserve"> including the cost to control</w:t>
      </w:r>
      <w:r w:rsidRPr="00B63B68">
        <w:rPr>
          <w:rFonts w:asciiTheme="minorHAnsi" w:hAnsiTheme="minorHAnsi" w:cs="Arial"/>
          <w:szCs w:val="24"/>
        </w:rPr>
        <w:t>.</w:t>
      </w:r>
      <w:r w:rsidR="005B7A7A" w:rsidRPr="00B63B68">
        <w:rPr>
          <w:rFonts w:asciiTheme="minorHAnsi" w:hAnsiTheme="minorHAnsi" w:cs="Arial"/>
          <w:szCs w:val="24"/>
        </w:rPr>
        <w:t xml:space="preserve"> Considering the steady increase in pesticide </w:t>
      </w:r>
      <w:r w:rsidR="0008428E" w:rsidRPr="00B63B68">
        <w:rPr>
          <w:rFonts w:asciiTheme="minorHAnsi" w:hAnsiTheme="minorHAnsi" w:cs="Arial"/>
          <w:szCs w:val="24"/>
        </w:rPr>
        <w:t xml:space="preserve">application </w:t>
      </w:r>
      <w:r w:rsidR="005B7A7A" w:rsidRPr="00B63B68">
        <w:rPr>
          <w:rFonts w:asciiTheme="minorHAnsi" w:hAnsiTheme="minorHAnsi" w:cs="Arial"/>
          <w:szCs w:val="24"/>
        </w:rPr>
        <w:t>cost</w:t>
      </w:r>
      <w:r w:rsidR="00F73C02" w:rsidRPr="00B63B68">
        <w:rPr>
          <w:rFonts w:asciiTheme="minorHAnsi" w:hAnsiTheme="minorHAnsi" w:cs="Arial"/>
          <w:szCs w:val="24"/>
        </w:rPr>
        <w:t xml:space="preserve"> and </w:t>
      </w:r>
      <w:r w:rsidR="006C3FC0" w:rsidRPr="00B63B68">
        <w:rPr>
          <w:rFonts w:asciiTheme="minorHAnsi" w:hAnsiTheme="minorHAnsi" w:cs="Arial"/>
          <w:szCs w:val="24"/>
        </w:rPr>
        <w:t xml:space="preserve">their environmental effect, development of resistant cultivars </w:t>
      </w:r>
      <w:r w:rsidR="007943D7" w:rsidRPr="00B63B68">
        <w:rPr>
          <w:rFonts w:asciiTheme="minorHAnsi" w:hAnsiTheme="minorHAnsi" w:cs="Arial"/>
          <w:szCs w:val="24"/>
        </w:rPr>
        <w:t>is recommended to</w:t>
      </w:r>
      <w:r w:rsidR="002A34E5" w:rsidRPr="00B63B68">
        <w:rPr>
          <w:rFonts w:asciiTheme="minorHAnsi" w:hAnsiTheme="minorHAnsi" w:cs="Arial"/>
          <w:szCs w:val="24"/>
        </w:rPr>
        <w:t xml:space="preserve"> bring higher profit for peanut growers. </w:t>
      </w:r>
      <w:r w:rsidR="001C74FA" w:rsidRPr="00B63B68">
        <w:rPr>
          <w:rFonts w:asciiTheme="minorHAnsi" w:hAnsiTheme="minorHAnsi" w:cs="Arial"/>
          <w:szCs w:val="24"/>
        </w:rPr>
        <w:t>Accordingly</w:t>
      </w:r>
      <w:r w:rsidR="002A34E5" w:rsidRPr="00B63B68">
        <w:rPr>
          <w:rFonts w:asciiTheme="minorHAnsi" w:hAnsiTheme="minorHAnsi" w:cs="Arial"/>
          <w:szCs w:val="24"/>
        </w:rPr>
        <w:t>, a cross was made between two high-yielding runner type cultivars M</w:t>
      </w:r>
      <w:r w:rsidR="000C4B46" w:rsidRPr="00B63B68">
        <w:rPr>
          <w:rFonts w:asciiTheme="minorHAnsi" w:hAnsiTheme="minorHAnsi" w:cs="Arial"/>
          <w:szCs w:val="24"/>
        </w:rPr>
        <w:t>arc</w:t>
      </w:r>
      <w:r w:rsidR="002A34E5" w:rsidRPr="00B63B68">
        <w:rPr>
          <w:rFonts w:asciiTheme="minorHAnsi" w:hAnsiTheme="minorHAnsi" w:cs="Arial"/>
          <w:szCs w:val="24"/>
        </w:rPr>
        <w:t xml:space="preserve"> I and Georgia 12Y (GA-12Y)</w:t>
      </w:r>
      <w:r w:rsidR="00A128E1" w:rsidRPr="00B63B68">
        <w:rPr>
          <w:rFonts w:asciiTheme="minorHAnsi" w:hAnsiTheme="minorHAnsi" w:cs="Arial"/>
          <w:szCs w:val="24"/>
        </w:rPr>
        <w:t xml:space="preserve"> </w:t>
      </w:r>
      <w:r w:rsidRPr="00B63B68">
        <w:rPr>
          <w:rFonts w:asciiTheme="minorHAnsi" w:hAnsiTheme="minorHAnsi" w:cs="Arial"/>
          <w:szCs w:val="24"/>
        </w:rPr>
        <w:t>to develop enhanced stem rot resistan</w:t>
      </w:r>
      <w:r w:rsidR="00D52F27" w:rsidRPr="00B63B68">
        <w:rPr>
          <w:rFonts w:asciiTheme="minorHAnsi" w:hAnsiTheme="minorHAnsi" w:cs="Arial"/>
          <w:szCs w:val="24"/>
        </w:rPr>
        <w:t>t lines</w:t>
      </w:r>
      <w:r w:rsidRPr="00B63B68">
        <w:rPr>
          <w:rFonts w:asciiTheme="minorHAnsi" w:hAnsiTheme="minorHAnsi" w:cs="Arial"/>
          <w:szCs w:val="24"/>
        </w:rPr>
        <w:t xml:space="preserve"> </w:t>
      </w:r>
      <w:r w:rsidR="00A128E1" w:rsidRPr="00B63B68">
        <w:rPr>
          <w:rFonts w:asciiTheme="minorHAnsi" w:hAnsiTheme="minorHAnsi" w:cs="Arial"/>
          <w:szCs w:val="24"/>
        </w:rPr>
        <w:t xml:space="preserve">with </w:t>
      </w:r>
      <w:r w:rsidR="00B63B68" w:rsidRPr="00B63B68">
        <w:rPr>
          <w:rFonts w:asciiTheme="minorHAnsi" w:hAnsiTheme="minorHAnsi" w:cs="Arial"/>
          <w:szCs w:val="24"/>
        </w:rPr>
        <w:t xml:space="preserve">medium </w:t>
      </w:r>
      <w:r w:rsidRPr="00B63B68">
        <w:rPr>
          <w:rFonts w:asciiTheme="minorHAnsi" w:hAnsiTheme="minorHAnsi" w:cs="Arial"/>
          <w:szCs w:val="24"/>
        </w:rPr>
        <w:t xml:space="preserve">maturity. </w:t>
      </w:r>
      <w:r w:rsidR="003D6EDF">
        <w:rPr>
          <w:rFonts w:asciiTheme="minorHAnsi" w:hAnsiTheme="minorHAnsi" w:cs="Arial"/>
          <w:szCs w:val="24"/>
        </w:rPr>
        <w:t>Selected</w:t>
      </w:r>
      <w:r w:rsidR="004E3D7B" w:rsidRPr="00B63B68">
        <w:rPr>
          <w:rFonts w:asciiTheme="minorHAnsi" w:hAnsiTheme="minorHAnsi" w:cs="Arial"/>
          <w:szCs w:val="24"/>
        </w:rPr>
        <w:t xml:space="preserve"> lines </w:t>
      </w:r>
      <w:r w:rsidR="00D53A1D">
        <w:rPr>
          <w:rFonts w:asciiTheme="minorHAnsi" w:hAnsiTheme="minorHAnsi" w:cs="Arial"/>
          <w:szCs w:val="24"/>
        </w:rPr>
        <w:t>will also</w:t>
      </w:r>
      <w:r w:rsidR="004E3D7B" w:rsidRPr="00B63B68">
        <w:rPr>
          <w:rFonts w:asciiTheme="minorHAnsi" w:hAnsiTheme="minorHAnsi" w:cs="Arial"/>
          <w:szCs w:val="24"/>
        </w:rPr>
        <w:t xml:space="preserve"> inherit Tomato Spotted Wilt Virus (TSWV) resistance from GA-12Y.  </w:t>
      </w:r>
      <w:r w:rsidRPr="00B63B68">
        <w:rPr>
          <w:rFonts w:asciiTheme="minorHAnsi" w:hAnsiTheme="minorHAnsi" w:cs="Arial"/>
          <w:szCs w:val="24"/>
        </w:rPr>
        <w:t xml:space="preserve">In 2024, </w:t>
      </w:r>
      <w:r w:rsidR="00831AC0" w:rsidRPr="00B63B68">
        <w:rPr>
          <w:rFonts w:asciiTheme="minorHAnsi" w:hAnsiTheme="minorHAnsi" w:cs="Arial"/>
          <w:szCs w:val="24"/>
        </w:rPr>
        <w:t xml:space="preserve">a </w:t>
      </w:r>
      <w:r w:rsidR="005E6340" w:rsidRPr="00B63B68">
        <w:rPr>
          <w:rFonts w:asciiTheme="minorHAnsi" w:hAnsiTheme="minorHAnsi" w:cs="Arial"/>
          <w:szCs w:val="24"/>
        </w:rPr>
        <w:t>total</w:t>
      </w:r>
      <w:r w:rsidR="00831AC0" w:rsidRPr="00B63B68">
        <w:rPr>
          <w:rFonts w:asciiTheme="minorHAnsi" w:hAnsiTheme="minorHAnsi" w:cs="Arial"/>
          <w:szCs w:val="24"/>
        </w:rPr>
        <w:t xml:space="preserve"> of</w:t>
      </w:r>
      <w:r w:rsidR="005E6340" w:rsidRPr="00B63B68">
        <w:rPr>
          <w:rFonts w:asciiTheme="minorHAnsi" w:hAnsiTheme="minorHAnsi" w:cs="Arial"/>
          <w:szCs w:val="24"/>
        </w:rPr>
        <w:t xml:space="preserve"> </w:t>
      </w:r>
      <w:r w:rsidRPr="00B63B68">
        <w:rPr>
          <w:rFonts w:asciiTheme="minorHAnsi" w:hAnsiTheme="minorHAnsi" w:cs="Arial"/>
          <w:szCs w:val="24"/>
        </w:rPr>
        <w:t>192 F</w:t>
      </w:r>
      <w:r w:rsidRPr="00B63B68">
        <w:rPr>
          <w:rFonts w:asciiTheme="minorHAnsi" w:hAnsiTheme="minorHAnsi" w:cs="Arial"/>
          <w:szCs w:val="24"/>
          <w:vertAlign w:val="subscript"/>
        </w:rPr>
        <w:t>3</w:t>
      </w:r>
      <w:r w:rsidRPr="00B63B68">
        <w:rPr>
          <w:rFonts w:asciiTheme="minorHAnsi" w:hAnsiTheme="minorHAnsi" w:cs="Arial"/>
          <w:szCs w:val="24"/>
        </w:rPr>
        <w:t xml:space="preserve"> lines were screened</w:t>
      </w:r>
      <w:r w:rsidR="001D4276" w:rsidRPr="00B63B68">
        <w:rPr>
          <w:rFonts w:asciiTheme="minorHAnsi" w:hAnsiTheme="minorHAnsi" w:cs="Arial"/>
          <w:szCs w:val="24"/>
        </w:rPr>
        <w:t xml:space="preserve"> against a highly virulent </w:t>
      </w:r>
      <w:r w:rsidR="00120DA0" w:rsidRPr="00B63B68">
        <w:rPr>
          <w:rFonts w:asciiTheme="minorHAnsi" w:hAnsiTheme="minorHAnsi" w:cs="Arial"/>
          <w:szCs w:val="24"/>
        </w:rPr>
        <w:t>stem rot fungus isolate</w:t>
      </w:r>
      <w:r w:rsidRPr="00B63B68">
        <w:rPr>
          <w:rFonts w:asciiTheme="minorHAnsi" w:hAnsiTheme="minorHAnsi" w:cs="Arial"/>
          <w:szCs w:val="24"/>
        </w:rPr>
        <w:t xml:space="preserve">, and seventy </w:t>
      </w:r>
      <w:r w:rsidR="00903C44" w:rsidRPr="00B63B68">
        <w:rPr>
          <w:rFonts w:asciiTheme="minorHAnsi" w:hAnsiTheme="minorHAnsi" w:cs="Arial"/>
          <w:szCs w:val="24"/>
        </w:rPr>
        <w:t>lines</w:t>
      </w:r>
      <w:r w:rsidRPr="00B63B68">
        <w:rPr>
          <w:rFonts w:asciiTheme="minorHAnsi" w:hAnsiTheme="minorHAnsi" w:cs="Arial"/>
          <w:szCs w:val="24"/>
        </w:rPr>
        <w:t xml:space="preserve"> were identified with superior resistance. Through </w:t>
      </w:r>
      <w:r w:rsidR="00E355E0" w:rsidRPr="00B63B68">
        <w:rPr>
          <w:rFonts w:asciiTheme="minorHAnsi" w:hAnsiTheme="minorHAnsi" w:cs="Arial"/>
          <w:szCs w:val="24"/>
        </w:rPr>
        <w:t>whole genome sequencing</w:t>
      </w:r>
      <w:r w:rsidR="00B84F69" w:rsidRPr="00B63B68">
        <w:rPr>
          <w:rFonts w:asciiTheme="minorHAnsi" w:hAnsiTheme="minorHAnsi" w:cs="Arial"/>
          <w:szCs w:val="24"/>
        </w:rPr>
        <w:t xml:space="preserve"> a</w:t>
      </w:r>
      <w:r w:rsidRPr="00B63B68">
        <w:rPr>
          <w:rFonts w:asciiTheme="minorHAnsi" w:hAnsiTheme="minorHAnsi" w:cs="Arial"/>
          <w:szCs w:val="24"/>
        </w:rPr>
        <w:t>nd pangenome analysis, a genomic region</w:t>
      </w:r>
      <w:r w:rsidR="00B84F69" w:rsidRPr="00B63B68">
        <w:rPr>
          <w:rFonts w:asciiTheme="minorHAnsi" w:hAnsiTheme="minorHAnsi" w:cs="Arial"/>
          <w:szCs w:val="24"/>
        </w:rPr>
        <w:t xml:space="preserve"> or quantitative trait locus</w:t>
      </w:r>
      <w:r w:rsidR="007D24EF" w:rsidRPr="00B63B68">
        <w:rPr>
          <w:rFonts w:asciiTheme="minorHAnsi" w:hAnsiTheme="minorHAnsi" w:cs="Arial"/>
          <w:szCs w:val="24"/>
        </w:rPr>
        <w:t xml:space="preserve"> (QTL)</w:t>
      </w:r>
      <w:r w:rsidRPr="00B63B68">
        <w:rPr>
          <w:rFonts w:asciiTheme="minorHAnsi" w:hAnsiTheme="minorHAnsi" w:cs="Arial"/>
          <w:szCs w:val="24"/>
        </w:rPr>
        <w:t xml:space="preserve"> was identified on chromosome A09 of GA-12Y, </w:t>
      </w:r>
      <w:r w:rsidR="00E9148B" w:rsidRPr="00B63B68">
        <w:rPr>
          <w:rFonts w:asciiTheme="minorHAnsi" w:hAnsiTheme="minorHAnsi" w:cs="Arial"/>
          <w:szCs w:val="24"/>
        </w:rPr>
        <w:t xml:space="preserve">explaining </w:t>
      </w:r>
      <w:r w:rsidRPr="00B63B68">
        <w:rPr>
          <w:rFonts w:asciiTheme="minorHAnsi" w:hAnsiTheme="minorHAnsi" w:cs="Arial"/>
          <w:szCs w:val="24"/>
        </w:rPr>
        <w:t xml:space="preserve">37.9% of the phenotypic variation. Subsequent small-plot </w:t>
      </w:r>
      <w:r w:rsidR="00666C42" w:rsidRPr="00B63B68">
        <w:rPr>
          <w:rFonts w:asciiTheme="minorHAnsi" w:hAnsiTheme="minorHAnsi" w:cs="Arial"/>
          <w:szCs w:val="24"/>
        </w:rPr>
        <w:t xml:space="preserve">level </w:t>
      </w:r>
      <w:r w:rsidRPr="00B63B68">
        <w:rPr>
          <w:rFonts w:asciiTheme="minorHAnsi" w:hAnsiTheme="minorHAnsi" w:cs="Arial"/>
          <w:szCs w:val="24"/>
        </w:rPr>
        <w:t>screening of derived F</w:t>
      </w:r>
      <w:r w:rsidRPr="00B63B68">
        <w:rPr>
          <w:rFonts w:asciiTheme="minorHAnsi" w:hAnsiTheme="minorHAnsi" w:cs="Arial"/>
          <w:szCs w:val="24"/>
          <w:vertAlign w:val="subscript"/>
        </w:rPr>
        <w:t>5</w:t>
      </w:r>
      <w:r w:rsidRPr="00B63B68">
        <w:rPr>
          <w:rFonts w:asciiTheme="minorHAnsi" w:hAnsiTheme="minorHAnsi" w:cs="Arial"/>
          <w:szCs w:val="24"/>
        </w:rPr>
        <w:t xml:space="preserve"> lines </w:t>
      </w:r>
      <w:r w:rsidR="00FE2F4E" w:rsidRPr="00B63B68">
        <w:rPr>
          <w:rFonts w:asciiTheme="minorHAnsi" w:hAnsiTheme="minorHAnsi" w:cs="Arial"/>
          <w:szCs w:val="24"/>
        </w:rPr>
        <w:t xml:space="preserve">in 2025 </w:t>
      </w:r>
      <w:r w:rsidRPr="00B63B68">
        <w:rPr>
          <w:rFonts w:asciiTheme="minorHAnsi" w:hAnsiTheme="minorHAnsi" w:cs="Arial"/>
          <w:szCs w:val="24"/>
        </w:rPr>
        <w:t>confirmed high resistance, although the population remain</w:t>
      </w:r>
      <w:r w:rsidR="00633F1A" w:rsidRPr="00B63B68">
        <w:rPr>
          <w:rFonts w:asciiTheme="minorHAnsi" w:hAnsiTheme="minorHAnsi" w:cs="Arial"/>
          <w:szCs w:val="24"/>
        </w:rPr>
        <w:t>ed</w:t>
      </w:r>
      <w:r w:rsidRPr="00B63B68">
        <w:rPr>
          <w:rFonts w:asciiTheme="minorHAnsi" w:hAnsiTheme="minorHAnsi" w:cs="Arial"/>
          <w:szCs w:val="24"/>
        </w:rPr>
        <w:t xml:space="preserve"> segregating. While preliminary data indicate</w:t>
      </w:r>
      <w:r w:rsidR="00014109" w:rsidRPr="00B63B68">
        <w:rPr>
          <w:rFonts w:asciiTheme="minorHAnsi" w:hAnsiTheme="minorHAnsi" w:cs="Arial"/>
          <w:szCs w:val="24"/>
        </w:rPr>
        <w:t>d</w:t>
      </w:r>
      <w:r w:rsidRPr="00B63B68">
        <w:rPr>
          <w:rFonts w:asciiTheme="minorHAnsi" w:hAnsiTheme="minorHAnsi" w:cs="Arial"/>
          <w:szCs w:val="24"/>
        </w:rPr>
        <w:t xml:space="preserve"> a late maturity pattern for these lines, further analysis is required </w:t>
      </w:r>
      <w:r w:rsidR="00B63B68" w:rsidRPr="00B63B68">
        <w:rPr>
          <w:rFonts w:asciiTheme="minorHAnsi" w:hAnsiTheme="minorHAnsi" w:cs="Arial"/>
          <w:szCs w:val="24"/>
        </w:rPr>
        <w:t>to identify medium maturity lines</w:t>
      </w:r>
      <w:r w:rsidRPr="00B63B68">
        <w:rPr>
          <w:rFonts w:asciiTheme="minorHAnsi" w:hAnsiTheme="minorHAnsi" w:cs="Arial"/>
          <w:szCs w:val="24"/>
        </w:rPr>
        <w:t xml:space="preserve">. Current efforts involve </w:t>
      </w:r>
      <w:r w:rsidR="00616A16" w:rsidRPr="00B63B68">
        <w:rPr>
          <w:rFonts w:asciiTheme="minorHAnsi" w:hAnsiTheme="minorHAnsi" w:cs="Arial"/>
          <w:szCs w:val="24"/>
        </w:rPr>
        <w:t xml:space="preserve">fine mapping of the QTL </w:t>
      </w:r>
      <w:r w:rsidR="00B63B68" w:rsidRPr="00B63B68">
        <w:rPr>
          <w:rFonts w:asciiTheme="minorHAnsi" w:hAnsiTheme="minorHAnsi" w:cs="Arial"/>
          <w:szCs w:val="24"/>
        </w:rPr>
        <w:t xml:space="preserve">by genotyping F5 population </w:t>
      </w:r>
      <w:r w:rsidR="00616A16" w:rsidRPr="00B63B68">
        <w:rPr>
          <w:rFonts w:asciiTheme="minorHAnsi" w:hAnsiTheme="minorHAnsi" w:cs="Arial"/>
          <w:szCs w:val="24"/>
        </w:rPr>
        <w:t xml:space="preserve">using </w:t>
      </w:r>
      <w:r w:rsidRPr="00B63B68">
        <w:rPr>
          <w:rFonts w:asciiTheme="minorHAnsi" w:hAnsiTheme="minorHAnsi" w:cs="Arial"/>
          <w:szCs w:val="24"/>
        </w:rPr>
        <w:t>molecular markers and seed multiplication of the resistant F</w:t>
      </w:r>
      <w:r w:rsidRPr="00B63B68">
        <w:rPr>
          <w:rFonts w:asciiTheme="minorHAnsi" w:hAnsiTheme="minorHAnsi" w:cs="Arial"/>
          <w:szCs w:val="24"/>
          <w:vertAlign w:val="subscript"/>
        </w:rPr>
        <w:t>6</w:t>
      </w:r>
      <w:r w:rsidRPr="00B63B68">
        <w:rPr>
          <w:rFonts w:asciiTheme="minorHAnsi" w:hAnsiTheme="minorHAnsi" w:cs="Arial"/>
          <w:szCs w:val="24"/>
        </w:rPr>
        <w:t xml:space="preserve"> lines in </w:t>
      </w:r>
      <w:r w:rsidR="00831AC0" w:rsidRPr="00B63B68">
        <w:rPr>
          <w:rFonts w:asciiTheme="minorHAnsi" w:hAnsiTheme="minorHAnsi" w:cs="Arial"/>
          <w:szCs w:val="24"/>
        </w:rPr>
        <w:t xml:space="preserve">the </w:t>
      </w:r>
      <w:r w:rsidRPr="00B63B68">
        <w:rPr>
          <w:rFonts w:asciiTheme="minorHAnsi" w:hAnsiTheme="minorHAnsi" w:cs="Arial"/>
          <w:szCs w:val="24"/>
        </w:rPr>
        <w:t>Puerto Rico</w:t>
      </w:r>
      <w:r w:rsidR="00AA14F4" w:rsidRPr="00B63B68">
        <w:rPr>
          <w:rFonts w:asciiTheme="minorHAnsi" w:hAnsiTheme="minorHAnsi" w:cs="Arial"/>
          <w:szCs w:val="24"/>
        </w:rPr>
        <w:t xml:space="preserve"> winter nursery</w:t>
      </w:r>
      <w:r w:rsidRPr="00B63B68">
        <w:rPr>
          <w:rFonts w:asciiTheme="minorHAnsi" w:hAnsiTheme="minorHAnsi" w:cs="Arial"/>
          <w:szCs w:val="24"/>
        </w:rPr>
        <w:t xml:space="preserve">. </w:t>
      </w:r>
      <w:r w:rsidR="00734C9D" w:rsidRPr="00B63B68">
        <w:rPr>
          <w:rFonts w:asciiTheme="minorHAnsi" w:hAnsiTheme="minorHAnsi" w:cs="Arial"/>
          <w:szCs w:val="24"/>
        </w:rPr>
        <w:t xml:space="preserve">Lines with </w:t>
      </w:r>
      <w:r w:rsidR="00831AC0" w:rsidRPr="00B63B68">
        <w:rPr>
          <w:rFonts w:asciiTheme="minorHAnsi" w:hAnsiTheme="minorHAnsi" w:cs="Arial"/>
          <w:szCs w:val="24"/>
        </w:rPr>
        <w:t>strong</w:t>
      </w:r>
      <w:r w:rsidR="00734C9D" w:rsidRPr="00B63B68">
        <w:rPr>
          <w:rFonts w:asciiTheme="minorHAnsi" w:hAnsiTheme="minorHAnsi" w:cs="Arial"/>
          <w:szCs w:val="24"/>
        </w:rPr>
        <w:t xml:space="preserve"> resistance and </w:t>
      </w:r>
      <w:r w:rsidR="00831AC0" w:rsidRPr="00B63B68">
        <w:rPr>
          <w:rFonts w:asciiTheme="minorHAnsi" w:hAnsiTheme="minorHAnsi" w:cs="Arial"/>
          <w:szCs w:val="24"/>
        </w:rPr>
        <w:t>medium</w:t>
      </w:r>
      <w:r w:rsidR="00734C9D" w:rsidRPr="00B63B68">
        <w:rPr>
          <w:rFonts w:asciiTheme="minorHAnsi" w:hAnsiTheme="minorHAnsi" w:cs="Arial"/>
          <w:szCs w:val="24"/>
        </w:rPr>
        <w:t xml:space="preserve"> maturity will be selected for developing SR resistant </w:t>
      </w:r>
      <w:r w:rsidR="00A81DFD" w:rsidRPr="00B63B68">
        <w:rPr>
          <w:rFonts w:asciiTheme="minorHAnsi" w:hAnsiTheme="minorHAnsi" w:cs="Arial"/>
          <w:szCs w:val="24"/>
        </w:rPr>
        <w:t>varieties</w:t>
      </w:r>
      <w:r w:rsidR="00734C9D" w:rsidRPr="00B63B68">
        <w:rPr>
          <w:rFonts w:asciiTheme="minorHAnsi" w:hAnsiTheme="minorHAnsi" w:cs="Arial"/>
          <w:szCs w:val="24"/>
        </w:rPr>
        <w:t>.</w:t>
      </w:r>
      <w:r w:rsidR="00263DD8" w:rsidRPr="00B63B68">
        <w:rPr>
          <w:rFonts w:asciiTheme="minorHAnsi" w:hAnsiTheme="minorHAnsi" w:cs="Arial"/>
          <w:szCs w:val="24"/>
        </w:rPr>
        <w:t xml:space="preserve"> Future work will focus on </w:t>
      </w:r>
      <w:r w:rsidR="00A97859" w:rsidRPr="00B63B68">
        <w:rPr>
          <w:rFonts w:asciiTheme="minorHAnsi" w:hAnsiTheme="minorHAnsi" w:cs="Arial"/>
          <w:szCs w:val="24"/>
        </w:rPr>
        <w:t xml:space="preserve">screening </w:t>
      </w:r>
      <w:r w:rsidR="00E820A7" w:rsidRPr="00B63B68">
        <w:rPr>
          <w:rFonts w:asciiTheme="minorHAnsi" w:hAnsiTheme="minorHAnsi" w:cs="Arial"/>
          <w:szCs w:val="24"/>
        </w:rPr>
        <w:t>selected</w:t>
      </w:r>
      <w:r w:rsidR="00A97859" w:rsidRPr="00B63B68">
        <w:rPr>
          <w:rFonts w:asciiTheme="minorHAnsi" w:hAnsiTheme="minorHAnsi" w:cs="Arial"/>
          <w:szCs w:val="24"/>
        </w:rPr>
        <w:t xml:space="preserve"> lines for</w:t>
      </w:r>
      <w:r w:rsidR="00263DD8" w:rsidRPr="00B63B68">
        <w:rPr>
          <w:rFonts w:asciiTheme="minorHAnsi" w:hAnsiTheme="minorHAnsi" w:cs="Arial"/>
          <w:szCs w:val="24"/>
        </w:rPr>
        <w:t xml:space="preserve"> TSWV resistance and </w:t>
      </w:r>
      <w:r w:rsidR="0008762A" w:rsidRPr="00B63B68">
        <w:rPr>
          <w:rFonts w:asciiTheme="minorHAnsi" w:hAnsiTheme="minorHAnsi" w:cs="Arial"/>
          <w:szCs w:val="24"/>
        </w:rPr>
        <w:t xml:space="preserve">integrating </w:t>
      </w:r>
      <w:r w:rsidR="00263DD8" w:rsidRPr="00B63B68">
        <w:rPr>
          <w:rFonts w:asciiTheme="minorHAnsi" w:hAnsiTheme="minorHAnsi" w:cs="Arial"/>
          <w:szCs w:val="24"/>
        </w:rPr>
        <w:t xml:space="preserve">other agronomic traits to ensure the commercial viability of </w:t>
      </w:r>
      <w:r w:rsidR="00B63B68" w:rsidRPr="00B63B68">
        <w:rPr>
          <w:rFonts w:asciiTheme="minorHAnsi" w:hAnsiTheme="minorHAnsi" w:cs="Arial"/>
          <w:szCs w:val="24"/>
        </w:rPr>
        <w:t>resistant varieties</w:t>
      </w:r>
      <w:r w:rsidR="00263DD8" w:rsidRPr="00B63B68">
        <w:rPr>
          <w:rFonts w:asciiTheme="minorHAnsi" w:hAnsiTheme="minorHAnsi" w:cs="Arial"/>
          <w:szCs w:val="24"/>
        </w:rPr>
        <w:t>.</w:t>
      </w:r>
    </w:p>
    <w:p w14:paraId="688DCCB3" w14:textId="77777777" w:rsidR="000D25BF" w:rsidRPr="00B05D92" w:rsidRDefault="000D25BF">
      <w:pPr>
        <w:rPr>
          <w:rFonts w:asciiTheme="minorHAnsi" w:hAnsiTheme="minorHAnsi" w:cs="Arial"/>
        </w:rPr>
      </w:pPr>
    </w:p>
    <w:sectPr w:rsidR="000D25BF" w:rsidRPr="00B05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026FC"/>
    <w:multiLevelType w:val="multilevel"/>
    <w:tmpl w:val="7B5A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050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9D"/>
    <w:rsid w:val="00014109"/>
    <w:rsid w:val="00026C30"/>
    <w:rsid w:val="00034B43"/>
    <w:rsid w:val="00035921"/>
    <w:rsid w:val="000469F5"/>
    <w:rsid w:val="000738BA"/>
    <w:rsid w:val="00077452"/>
    <w:rsid w:val="000823A9"/>
    <w:rsid w:val="0008428E"/>
    <w:rsid w:val="0008762A"/>
    <w:rsid w:val="00087D2B"/>
    <w:rsid w:val="00097C84"/>
    <w:rsid w:val="000C4B46"/>
    <w:rsid w:val="000D25BF"/>
    <w:rsid w:val="001043D5"/>
    <w:rsid w:val="0011680F"/>
    <w:rsid w:val="00120DA0"/>
    <w:rsid w:val="001237C8"/>
    <w:rsid w:val="00192D9C"/>
    <w:rsid w:val="001C4CC5"/>
    <w:rsid w:val="001C74FA"/>
    <w:rsid w:val="001D14FC"/>
    <w:rsid w:val="001D4276"/>
    <w:rsid w:val="001F685A"/>
    <w:rsid w:val="001F6D79"/>
    <w:rsid w:val="0022422C"/>
    <w:rsid w:val="0024385E"/>
    <w:rsid w:val="002636EE"/>
    <w:rsid w:val="00263DD8"/>
    <w:rsid w:val="002747EA"/>
    <w:rsid w:val="002A34E5"/>
    <w:rsid w:val="002C3872"/>
    <w:rsid w:val="002D31FF"/>
    <w:rsid w:val="002E1247"/>
    <w:rsid w:val="00301D3B"/>
    <w:rsid w:val="00315348"/>
    <w:rsid w:val="003159CA"/>
    <w:rsid w:val="0032777A"/>
    <w:rsid w:val="0037380D"/>
    <w:rsid w:val="003D6EDF"/>
    <w:rsid w:val="004118FC"/>
    <w:rsid w:val="004156DF"/>
    <w:rsid w:val="00416582"/>
    <w:rsid w:val="0042099B"/>
    <w:rsid w:val="004248EF"/>
    <w:rsid w:val="00434A8D"/>
    <w:rsid w:val="004B5C56"/>
    <w:rsid w:val="004D0A77"/>
    <w:rsid w:val="004E3D7B"/>
    <w:rsid w:val="005126D5"/>
    <w:rsid w:val="00527616"/>
    <w:rsid w:val="0053440D"/>
    <w:rsid w:val="005550EB"/>
    <w:rsid w:val="005A255D"/>
    <w:rsid w:val="005A4061"/>
    <w:rsid w:val="005B7A7A"/>
    <w:rsid w:val="005E61F0"/>
    <w:rsid w:val="005E6340"/>
    <w:rsid w:val="005E7E17"/>
    <w:rsid w:val="00604FD7"/>
    <w:rsid w:val="00616A16"/>
    <w:rsid w:val="00633F1A"/>
    <w:rsid w:val="00666C42"/>
    <w:rsid w:val="006954E7"/>
    <w:rsid w:val="006B588A"/>
    <w:rsid w:val="006C3FC0"/>
    <w:rsid w:val="006D11A7"/>
    <w:rsid w:val="006E29FD"/>
    <w:rsid w:val="006F6D34"/>
    <w:rsid w:val="00712DD0"/>
    <w:rsid w:val="00716511"/>
    <w:rsid w:val="00734C9D"/>
    <w:rsid w:val="007653BD"/>
    <w:rsid w:val="00782DE8"/>
    <w:rsid w:val="007943D7"/>
    <w:rsid w:val="007C59C3"/>
    <w:rsid w:val="007D24EF"/>
    <w:rsid w:val="007D50D4"/>
    <w:rsid w:val="007F05DC"/>
    <w:rsid w:val="00805756"/>
    <w:rsid w:val="008213DE"/>
    <w:rsid w:val="00831AC0"/>
    <w:rsid w:val="008400E9"/>
    <w:rsid w:val="00840FBF"/>
    <w:rsid w:val="00856E84"/>
    <w:rsid w:val="00876D7E"/>
    <w:rsid w:val="008A3E97"/>
    <w:rsid w:val="008D273E"/>
    <w:rsid w:val="008E5B21"/>
    <w:rsid w:val="00903C44"/>
    <w:rsid w:val="0091472A"/>
    <w:rsid w:val="009176D8"/>
    <w:rsid w:val="00942935"/>
    <w:rsid w:val="00996F33"/>
    <w:rsid w:val="00997AE6"/>
    <w:rsid w:val="009A14D8"/>
    <w:rsid w:val="009D4B62"/>
    <w:rsid w:val="009D652A"/>
    <w:rsid w:val="00A03103"/>
    <w:rsid w:val="00A032B0"/>
    <w:rsid w:val="00A10C7B"/>
    <w:rsid w:val="00A128E1"/>
    <w:rsid w:val="00A14899"/>
    <w:rsid w:val="00A3263D"/>
    <w:rsid w:val="00A41C8A"/>
    <w:rsid w:val="00A81DFD"/>
    <w:rsid w:val="00A84A5A"/>
    <w:rsid w:val="00A97859"/>
    <w:rsid w:val="00AA14F4"/>
    <w:rsid w:val="00AA53C3"/>
    <w:rsid w:val="00AA69EC"/>
    <w:rsid w:val="00AB290E"/>
    <w:rsid w:val="00AD497D"/>
    <w:rsid w:val="00B05D92"/>
    <w:rsid w:val="00B15612"/>
    <w:rsid w:val="00B63B68"/>
    <w:rsid w:val="00B74A3F"/>
    <w:rsid w:val="00B77444"/>
    <w:rsid w:val="00B7790A"/>
    <w:rsid w:val="00B84F69"/>
    <w:rsid w:val="00BB6739"/>
    <w:rsid w:val="00C07F83"/>
    <w:rsid w:val="00C12DB1"/>
    <w:rsid w:val="00C2344C"/>
    <w:rsid w:val="00C34600"/>
    <w:rsid w:val="00C777E0"/>
    <w:rsid w:val="00CB1BB3"/>
    <w:rsid w:val="00CD0C9C"/>
    <w:rsid w:val="00CD6F32"/>
    <w:rsid w:val="00D15BC4"/>
    <w:rsid w:val="00D27D31"/>
    <w:rsid w:val="00D51848"/>
    <w:rsid w:val="00D52F27"/>
    <w:rsid w:val="00D53A1D"/>
    <w:rsid w:val="00D55683"/>
    <w:rsid w:val="00D5756A"/>
    <w:rsid w:val="00DE6803"/>
    <w:rsid w:val="00E355E0"/>
    <w:rsid w:val="00E517D9"/>
    <w:rsid w:val="00E53979"/>
    <w:rsid w:val="00E76FF5"/>
    <w:rsid w:val="00E820A7"/>
    <w:rsid w:val="00E82E70"/>
    <w:rsid w:val="00E85C79"/>
    <w:rsid w:val="00E9148B"/>
    <w:rsid w:val="00EA4927"/>
    <w:rsid w:val="00EA7F5F"/>
    <w:rsid w:val="00EB117C"/>
    <w:rsid w:val="00EB1FC3"/>
    <w:rsid w:val="00EC13AA"/>
    <w:rsid w:val="00F16566"/>
    <w:rsid w:val="00F4124A"/>
    <w:rsid w:val="00F468B5"/>
    <w:rsid w:val="00F46FD7"/>
    <w:rsid w:val="00F55150"/>
    <w:rsid w:val="00F73C02"/>
    <w:rsid w:val="00FA42BA"/>
    <w:rsid w:val="00FB0195"/>
    <w:rsid w:val="00FB05DC"/>
    <w:rsid w:val="00FB513E"/>
    <w:rsid w:val="00FC079A"/>
    <w:rsid w:val="00FD6272"/>
    <w:rsid w:val="00FE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1942F"/>
  <w15:chartTrackingRefBased/>
  <w15:docId w15:val="{571A67CE-2E34-4A3F-94BA-20D07A51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C9D"/>
    <w:pPr>
      <w:spacing w:line="259" w:lineRule="auto"/>
    </w:pPr>
    <w:rPr>
      <w:rFonts w:ascii="Times New Roman" w:hAnsi="Times New Roman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4C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C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C9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C9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C9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C9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C9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C9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C9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C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C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C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C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C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C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C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C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C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C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C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C9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C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C9D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34C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C9D"/>
    <w:pPr>
      <w:spacing w:line="278" w:lineRule="auto"/>
      <w:ind w:left="720"/>
      <w:contextualSpacing/>
    </w:pPr>
    <w:rPr>
      <w:rFonts w:asciiTheme="minorHAnsi" w:hAnsiTheme="minorHAnsi"/>
      <w:szCs w:val="24"/>
    </w:rPr>
  </w:style>
  <w:style w:type="character" w:styleId="IntenseEmphasis">
    <w:name w:val="Intense Emphasis"/>
    <w:basedOn w:val="DefaultParagraphFont"/>
    <w:uiPriority w:val="21"/>
    <w:qFormat/>
    <w:rsid w:val="00734C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C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C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C9D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734C9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31A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1A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1AC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A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1AC0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7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Akshaya Kumar Biswal</dc:creator>
  <cp:keywords/>
  <dc:description/>
  <cp:lastModifiedBy>Akshaya Kumar Biswal</cp:lastModifiedBy>
  <cp:revision>6</cp:revision>
  <dcterms:created xsi:type="dcterms:W3CDTF">2026-03-26T20:36:00Z</dcterms:created>
  <dcterms:modified xsi:type="dcterms:W3CDTF">2026-03-27T16:16:00Z</dcterms:modified>
</cp:coreProperties>
</file>