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50282A93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07B2">
        <w:rPr>
          <w:b/>
          <w:bCs/>
        </w:rPr>
        <w:t xml:space="preserve"> </w:t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448B0070" w14:textId="36A4B9D2" w:rsidR="00B930C1" w:rsidRPr="00A574C8" w:rsidRDefault="00806FFD" w:rsidP="00C657DB">
      <w:pPr>
        <w:spacing w:after="120" w:line="240" w:lineRule="auto"/>
        <w:rPr>
          <w:b/>
          <w:bCs/>
        </w:rPr>
      </w:pPr>
      <w:r>
        <w:rPr>
          <w:b/>
          <w:bCs/>
        </w:rPr>
        <w:t xml:space="preserve">Comparison of Phosphonate </w:t>
      </w:r>
      <w:r w:rsidR="00631ACE">
        <w:rPr>
          <w:b/>
          <w:bCs/>
        </w:rPr>
        <w:t>Products for Leaf Spot Control</w:t>
      </w:r>
      <w:r w:rsidR="0003385E">
        <w:rPr>
          <w:b/>
          <w:bCs/>
        </w:rPr>
        <w:t xml:space="preserve"> in Peanut</w:t>
      </w:r>
    </w:p>
    <w:p w14:paraId="239C9711" w14:textId="3333C4EA" w:rsidR="00B930C1" w:rsidRPr="00B930C1" w:rsidRDefault="00806FFD" w:rsidP="00C657DB">
      <w:pPr>
        <w:spacing w:after="120" w:line="240" w:lineRule="auto"/>
      </w:pPr>
      <w:r>
        <w:rPr>
          <w:b/>
          <w:bCs/>
        </w:rPr>
        <w:t>CULBREATH, A.K.</w:t>
      </w:r>
      <w:r w:rsidR="00B930C1" w:rsidRPr="00B930C1">
        <w:rPr>
          <w:vertAlign w:val="superscript"/>
        </w:rPr>
        <w:t>1</w:t>
      </w:r>
      <w:r w:rsidR="00B930C1" w:rsidRPr="00B930C1">
        <w:t>, Brenneman</w:t>
      </w:r>
      <w:r w:rsidR="00B93C7A">
        <w:t>,</w:t>
      </w:r>
      <w:r w:rsidR="00B930C1" w:rsidRPr="00B930C1">
        <w:t xml:space="preserve"> T</w:t>
      </w:r>
      <w:r w:rsidR="00B930C1">
        <w:t>.</w:t>
      </w:r>
      <w:r w:rsidR="00B930C1" w:rsidRPr="00B930C1">
        <w:t>B</w:t>
      </w:r>
      <w:r w:rsidR="00B930C1">
        <w:t>.</w:t>
      </w:r>
      <w:r w:rsidR="0003385E">
        <w:rPr>
          <w:vertAlign w:val="superscript"/>
        </w:rPr>
        <w:t>1</w:t>
      </w:r>
      <w:r w:rsidR="00B930C1" w:rsidRPr="00B930C1">
        <w:t xml:space="preserve">, </w:t>
      </w:r>
      <w:r w:rsidR="0003385E">
        <w:t>Kemerait, R.C.</w:t>
      </w:r>
      <w:r w:rsidR="007A5ADD">
        <w:rPr>
          <w:vertAlign w:val="superscript"/>
        </w:rPr>
        <w:t>1</w:t>
      </w:r>
      <w:r w:rsidR="00B930C1" w:rsidRPr="00B930C1">
        <w:t xml:space="preserve">, </w:t>
      </w:r>
      <w:r w:rsidR="00080237">
        <w:t>Cantonwine, E.G.</w:t>
      </w:r>
      <w:r w:rsidR="00F8330D">
        <w:rPr>
          <w:vertAlign w:val="superscript"/>
        </w:rPr>
        <w:t>2</w:t>
      </w:r>
    </w:p>
    <w:p w14:paraId="204F4682" w14:textId="1A3CF0F8" w:rsidR="00B930C1" w:rsidRDefault="00F8330D" w:rsidP="00C657DB">
      <w:pPr>
        <w:spacing w:after="120" w:line="240" w:lineRule="auto"/>
      </w:pPr>
      <w:r>
        <w:rPr>
          <w:vertAlign w:val="superscript"/>
        </w:rPr>
        <w:t>1</w:t>
      </w:r>
      <w:r w:rsidR="00B930C1" w:rsidRPr="00B930C1">
        <w:t>Department of Plant Pathology, University of Georgia, Tifton, GA</w:t>
      </w:r>
      <w:r w:rsidR="00B127C7">
        <w:t>.</w:t>
      </w:r>
      <w:r w:rsidR="00B930C1" w:rsidRPr="00B930C1">
        <w:t xml:space="preserve"> </w:t>
      </w:r>
      <w:r w:rsidR="008F58A5">
        <w:rPr>
          <w:vertAlign w:val="superscript"/>
        </w:rPr>
        <w:t>2</w:t>
      </w:r>
      <w:r w:rsidR="00B930C1" w:rsidRPr="00B930C1">
        <w:t xml:space="preserve">Department of </w:t>
      </w:r>
      <w:r w:rsidR="004B4999">
        <w:t>Biology, Valdosta State University, Valdosta, GA.</w:t>
      </w:r>
      <w:r w:rsidR="00B930C1" w:rsidRPr="00B930C1">
        <w:t xml:space="preserve"> </w:t>
      </w:r>
    </w:p>
    <w:p w14:paraId="76432B1B" w14:textId="45E40665" w:rsidR="00A1165D" w:rsidRPr="00A1165D" w:rsidRDefault="00A1165D" w:rsidP="00A1165D">
      <w:pPr>
        <w:spacing w:after="0" w:line="240" w:lineRule="auto"/>
        <w:rPr>
          <w:rFonts w:asciiTheme="majorHAnsi" w:hAnsiTheme="majorHAnsi" w:cs="Times New Roman"/>
        </w:rPr>
      </w:pPr>
      <w:r w:rsidRPr="00A1165D">
        <w:rPr>
          <w:rFonts w:asciiTheme="majorHAnsi" w:hAnsiTheme="majorHAnsi" w:cs="Times New Roman"/>
        </w:rPr>
        <w:t>Field experiments were conducted in Tifton, GA in 202</w:t>
      </w:r>
      <w:r w:rsidR="002410AD">
        <w:rPr>
          <w:rFonts w:asciiTheme="majorHAnsi" w:hAnsiTheme="majorHAnsi" w:cs="Times New Roman"/>
        </w:rPr>
        <w:t>4</w:t>
      </w:r>
      <w:r w:rsidRPr="00A1165D">
        <w:rPr>
          <w:rFonts w:asciiTheme="majorHAnsi" w:hAnsiTheme="majorHAnsi" w:cs="Times New Roman"/>
        </w:rPr>
        <w:t xml:space="preserve">-2025 to </w:t>
      </w:r>
      <w:r w:rsidR="00692781">
        <w:rPr>
          <w:rFonts w:asciiTheme="majorHAnsi" w:hAnsiTheme="majorHAnsi" w:cs="Times New Roman"/>
        </w:rPr>
        <w:t>compare</w:t>
      </w:r>
      <w:r w:rsidRPr="00A1165D">
        <w:rPr>
          <w:rFonts w:asciiTheme="majorHAnsi" w:hAnsiTheme="majorHAnsi" w:cs="Times New Roman"/>
        </w:rPr>
        <w:t xml:space="preserve"> the efficacy of </w:t>
      </w:r>
      <w:r w:rsidR="00802218">
        <w:rPr>
          <w:rFonts w:asciiTheme="majorHAnsi" w:hAnsiTheme="majorHAnsi" w:cs="Times New Roman"/>
        </w:rPr>
        <w:t xml:space="preserve">three </w:t>
      </w:r>
      <w:r w:rsidRPr="00A1165D">
        <w:rPr>
          <w:rFonts w:asciiTheme="majorHAnsi" w:hAnsiTheme="majorHAnsi" w:cs="Times New Roman"/>
        </w:rPr>
        <w:t>phosphonate fungicides (FRAC Group P</w:t>
      </w:r>
      <w:r w:rsidR="00D4246A">
        <w:rPr>
          <w:rFonts w:asciiTheme="majorHAnsi" w:hAnsiTheme="majorHAnsi" w:cs="Times New Roman"/>
        </w:rPr>
        <w:t xml:space="preserve"> </w:t>
      </w:r>
      <w:r w:rsidRPr="00A1165D">
        <w:rPr>
          <w:rFonts w:asciiTheme="majorHAnsi" w:hAnsiTheme="majorHAnsi" w:cs="Times New Roman"/>
        </w:rPr>
        <w:t xml:space="preserve">07) </w:t>
      </w:r>
      <w:r w:rsidR="00B64FAE" w:rsidRPr="00A1165D">
        <w:rPr>
          <w:rFonts w:asciiTheme="majorHAnsi" w:hAnsiTheme="majorHAnsi" w:cs="Times New Roman"/>
        </w:rPr>
        <w:t>on early leaf spot (</w:t>
      </w:r>
      <w:r w:rsidR="00B64FAE" w:rsidRPr="00A1165D">
        <w:rPr>
          <w:rFonts w:asciiTheme="majorHAnsi" w:hAnsiTheme="majorHAnsi" w:cs="Times New Roman"/>
          <w:i/>
          <w:iCs/>
        </w:rPr>
        <w:t>Passalora arachidicola</w:t>
      </w:r>
      <w:r w:rsidR="00B64FAE" w:rsidRPr="00A1165D">
        <w:rPr>
          <w:rFonts w:asciiTheme="majorHAnsi" w:hAnsiTheme="majorHAnsi" w:cs="Times New Roman"/>
        </w:rPr>
        <w:t>) and late leaf spot (</w:t>
      </w:r>
      <w:r w:rsidR="00B64FAE" w:rsidRPr="00A1165D">
        <w:rPr>
          <w:rFonts w:asciiTheme="majorHAnsi" w:hAnsiTheme="majorHAnsi" w:cs="Times New Roman"/>
          <w:i/>
        </w:rPr>
        <w:t xml:space="preserve">Nothopassalora personata) </w:t>
      </w:r>
      <w:r w:rsidR="00B64FAE" w:rsidRPr="00A1165D">
        <w:rPr>
          <w:rFonts w:asciiTheme="majorHAnsi" w:hAnsiTheme="majorHAnsi" w:cs="Times New Roman"/>
          <w:iCs/>
        </w:rPr>
        <w:t>of peanut</w:t>
      </w:r>
      <w:r w:rsidR="00B64FAE" w:rsidRPr="00A1165D">
        <w:rPr>
          <w:rFonts w:asciiTheme="majorHAnsi" w:hAnsiTheme="majorHAnsi" w:cs="Times New Roman"/>
          <w:i/>
        </w:rPr>
        <w:t xml:space="preserve"> (Arachis hypogaea)</w:t>
      </w:r>
      <w:r w:rsidR="00B64FAE">
        <w:rPr>
          <w:rFonts w:asciiTheme="majorHAnsi" w:hAnsiTheme="majorHAnsi" w:cs="Times New Roman"/>
          <w:i/>
        </w:rPr>
        <w:t xml:space="preserve">. </w:t>
      </w:r>
      <w:r w:rsidR="00BF0167">
        <w:t>I</w:t>
      </w:r>
      <w:r w:rsidR="00C87735">
        <w:t>n</w:t>
      </w:r>
      <w:r w:rsidR="00BF0167">
        <w:t xml:space="preserve"> both years</w:t>
      </w:r>
      <w:r w:rsidR="00C87735">
        <w:t xml:space="preserve"> treatments consisted of</w:t>
      </w:r>
      <w:r w:rsidR="00802218">
        <w:t xml:space="preserve"> K</w:t>
      </w:r>
      <w:r w:rsidR="00950084">
        <w:t>-P</w:t>
      </w:r>
      <w:r w:rsidR="00D4246A">
        <w:t>HITE</w:t>
      </w:r>
      <w:r w:rsidR="00950084">
        <w:t xml:space="preserve"> (Plant </w:t>
      </w:r>
      <w:r w:rsidR="004A52F4">
        <w:t xml:space="preserve">Food </w:t>
      </w:r>
      <w:r w:rsidR="00950084">
        <w:t>Systems), ProPhyt (</w:t>
      </w:r>
      <w:r w:rsidR="00686265">
        <w:t>Luxembourg-</w:t>
      </w:r>
      <w:proofErr w:type="spellStart"/>
      <w:r w:rsidR="00686265">
        <w:t>Pamol</w:t>
      </w:r>
      <w:proofErr w:type="spellEnd"/>
      <w:r w:rsidR="00686265">
        <w:t xml:space="preserve"> Inc.</w:t>
      </w:r>
      <w:r w:rsidR="00950084">
        <w:t xml:space="preserve">) </w:t>
      </w:r>
      <w:r w:rsidR="00C1508C">
        <w:t>and Phiticide (Drexel</w:t>
      </w:r>
      <w:r w:rsidR="00686265">
        <w:t xml:space="preserve"> Chemical Company</w:t>
      </w:r>
      <w:r w:rsidR="00C1508C">
        <w:t xml:space="preserve">) each applied </w:t>
      </w:r>
      <w:r w:rsidR="000B2FF2">
        <w:t xml:space="preserve">at </w:t>
      </w:r>
      <w:r w:rsidRPr="00A1165D">
        <w:rPr>
          <w:rFonts w:asciiTheme="majorHAnsi" w:hAnsiTheme="majorHAnsi" w:cs="Times New Roman"/>
        </w:rPr>
        <w:t>(2 kg a.i.</w:t>
      </w:r>
      <w:r w:rsidR="00C904AE">
        <w:rPr>
          <w:rFonts w:asciiTheme="majorHAnsi" w:hAnsiTheme="majorHAnsi" w:cs="Times New Roman"/>
        </w:rPr>
        <w:t>/</w:t>
      </w:r>
      <w:r w:rsidRPr="00A1165D">
        <w:rPr>
          <w:rFonts w:asciiTheme="majorHAnsi" w:hAnsiTheme="majorHAnsi" w:cs="Times New Roman"/>
        </w:rPr>
        <w:t>ha</w:t>
      </w:r>
      <w:r w:rsidR="000B2FF2">
        <w:rPr>
          <w:rFonts w:asciiTheme="majorHAnsi" w:hAnsiTheme="majorHAnsi" w:cs="Times New Roman"/>
        </w:rPr>
        <w:t xml:space="preserve"> alone and in </w:t>
      </w:r>
      <w:r w:rsidR="00D7452E">
        <w:rPr>
          <w:rFonts w:asciiTheme="majorHAnsi" w:hAnsiTheme="majorHAnsi" w:cs="Times New Roman"/>
        </w:rPr>
        <w:t xml:space="preserve">tank-mix </w:t>
      </w:r>
      <w:r w:rsidR="000B2FF2">
        <w:rPr>
          <w:rFonts w:asciiTheme="majorHAnsi" w:hAnsiTheme="majorHAnsi" w:cs="Times New Roman"/>
        </w:rPr>
        <w:t>combination</w:t>
      </w:r>
      <w:r w:rsidR="00D7452E">
        <w:rPr>
          <w:rFonts w:asciiTheme="majorHAnsi" w:hAnsiTheme="majorHAnsi" w:cs="Times New Roman"/>
        </w:rPr>
        <w:t>s</w:t>
      </w:r>
      <w:r w:rsidR="000B2FF2">
        <w:rPr>
          <w:rFonts w:asciiTheme="majorHAnsi" w:hAnsiTheme="majorHAnsi" w:cs="Times New Roman"/>
        </w:rPr>
        <w:t xml:space="preserve"> with </w:t>
      </w:r>
      <w:r w:rsidRPr="00A1165D">
        <w:rPr>
          <w:rFonts w:asciiTheme="majorHAnsi" w:hAnsiTheme="majorHAnsi" w:cs="Times New Roman"/>
        </w:rPr>
        <w:t>micronized elemental sulfur</w:t>
      </w:r>
      <w:r w:rsidR="00CD5021">
        <w:rPr>
          <w:rFonts w:asciiTheme="majorHAnsi" w:hAnsiTheme="majorHAnsi" w:cs="Times New Roman"/>
        </w:rPr>
        <w:t xml:space="preserve"> (Suffa 6F</w:t>
      </w:r>
      <w:r w:rsidR="003F1C91">
        <w:rPr>
          <w:rFonts w:asciiTheme="majorHAnsi" w:hAnsiTheme="majorHAnsi" w:cs="Times New Roman"/>
        </w:rPr>
        <w:t>, Drexel Chemical Company</w:t>
      </w:r>
      <w:r w:rsidR="00CD5021">
        <w:rPr>
          <w:rFonts w:asciiTheme="majorHAnsi" w:hAnsiTheme="majorHAnsi" w:cs="Times New Roman"/>
        </w:rPr>
        <w:t>)</w:t>
      </w:r>
      <w:r w:rsidRPr="00A1165D">
        <w:rPr>
          <w:rFonts w:asciiTheme="majorHAnsi" w:hAnsiTheme="majorHAnsi" w:cs="Times New Roman"/>
        </w:rPr>
        <w:t xml:space="preserve"> (2.7 kg a.i. ha)</w:t>
      </w:r>
      <w:r w:rsidR="00A17B38">
        <w:rPr>
          <w:rFonts w:asciiTheme="majorHAnsi" w:hAnsiTheme="majorHAnsi" w:cs="Times New Roman"/>
        </w:rPr>
        <w:t>,</w:t>
      </w:r>
      <w:r w:rsidRPr="00A1165D">
        <w:rPr>
          <w:rFonts w:asciiTheme="majorHAnsi" w:hAnsiTheme="majorHAnsi" w:cs="Times New Roman"/>
          <w:i/>
        </w:rPr>
        <w:t xml:space="preserve"> c</w:t>
      </w:r>
      <w:r w:rsidRPr="00A1165D">
        <w:rPr>
          <w:rFonts w:asciiTheme="majorHAnsi" w:hAnsiTheme="majorHAnsi" w:cs="Times New Roman"/>
        </w:rPr>
        <w:t xml:space="preserve">ompared to the protectant fungicide chlorothalonil </w:t>
      </w:r>
      <w:r w:rsidR="00F07D4D">
        <w:rPr>
          <w:rFonts w:asciiTheme="majorHAnsi" w:hAnsiTheme="majorHAnsi" w:cs="Times New Roman"/>
        </w:rPr>
        <w:t xml:space="preserve">(Bravo WeatherStik, ADAMA) </w:t>
      </w:r>
      <w:r w:rsidRPr="00A1165D">
        <w:rPr>
          <w:rFonts w:asciiTheme="majorHAnsi" w:hAnsiTheme="majorHAnsi" w:cs="Times New Roman"/>
        </w:rPr>
        <w:t>(1.26 kg a.i.</w:t>
      </w:r>
      <w:r w:rsidR="003A2C8A">
        <w:rPr>
          <w:rFonts w:asciiTheme="majorHAnsi" w:hAnsiTheme="majorHAnsi" w:cs="Times New Roman"/>
        </w:rPr>
        <w:t>/</w:t>
      </w:r>
      <w:r w:rsidRPr="00A1165D">
        <w:rPr>
          <w:rFonts w:asciiTheme="majorHAnsi" w:hAnsiTheme="majorHAnsi" w:cs="Times New Roman"/>
        </w:rPr>
        <w:t xml:space="preserve">ha) and a nontreated control. </w:t>
      </w:r>
      <w:r w:rsidR="003A2C8A">
        <w:rPr>
          <w:rFonts w:asciiTheme="majorHAnsi" w:hAnsiTheme="majorHAnsi" w:cs="Times New Roman"/>
        </w:rPr>
        <w:t>All treatments were applied full</w:t>
      </w:r>
      <w:r w:rsidR="003918B0">
        <w:rPr>
          <w:rFonts w:asciiTheme="majorHAnsi" w:hAnsiTheme="majorHAnsi" w:cs="Times New Roman"/>
        </w:rPr>
        <w:t>-</w:t>
      </w:r>
      <w:r w:rsidR="003A2C8A">
        <w:rPr>
          <w:rFonts w:asciiTheme="majorHAnsi" w:hAnsiTheme="majorHAnsi" w:cs="Times New Roman"/>
        </w:rPr>
        <w:t xml:space="preserve">season at approximately 14-day intervals </w:t>
      </w:r>
      <w:r w:rsidR="00FE54D6">
        <w:rPr>
          <w:rFonts w:asciiTheme="majorHAnsi" w:hAnsiTheme="majorHAnsi" w:cs="Times New Roman"/>
        </w:rPr>
        <w:t xml:space="preserve">resulting in seven total applications per season.  Across </w:t>
      </w:r>
      <w:r w:rsidR="001F20A7">
        <w:rPr>
          <w:rFonts w:asciiTheme="majorHAnsi" w:hAnsiTheme="majorHAnsi" w:cs="Times New Roman"/>
        </w:rPr>
        <w:t>both years, f</w:t>
      </w:r>
      <w:r w:rsidRPr="00A1165D">
        <w:rPr>
          <w:rFonts w:asciiTheme="majorHAnsi" w:hAnsiTheme="majorHAnsi" w:cs="Times New Roman"/>
        </w:rPr>
        <w:t xml:space="preserve">inal leaf spot severity and standardized area under the disease progress curve (sAUDPC) were lower for </w:t>
      </w:r>
      <w:r w:rsidR="00111EA0">
        <w:rPr>
          <w:rFonts w:asciiTheme="majorHAnsi" w:hAnsiTheme="majorHAnsi" w:cs="Times New Roman"/>
        </w:rPr>
        <w:t xml:space="preserve">all </w:t>
      </w:r>
      <w:r w:rsidRPr="00A1165D">
        <w:rPr>
          <w:rFonts w:asciiTheme="majorHAnsi" w:hAnsiTheme="majorHAnsi" w:cs="Times New Roman"/>
        </w:rPr>
        <w:t xml:space="preserve">phosphonate </w:t>
      </w:r>
      <w:r w:rsidR="00111EA0">
        <w:rPr>
          <w:rFonts w:asciiTheme="majorHAnsi" w:hAnsiTheme="majorHAnsi" w:cs="Times New Roman"/>
        </w:rPr>
        <w:t xml:space="preserve">products </w:t>
      </w:r>
      <w:r w:rsidRPr="00A1165D">
        <w:rPr>
          <w:rFonts w:asciiTheme="majorHAnsi" w:hAnsiTheme="majorHAnsi" w:cs="Times New Roman"/>
        </w:rPr>
        <w:t xml:space="preserve">alone and sulfur alone treatments than for the nontreated control but were higher than for the chlorothalonil standard. </w:t>
      </w:r>
      <w:r w:rsidR="00111EA0">
        <w:rPr>
          <w:rFonts w:asciiTheme="majorHAnsi" w:hAnsiTheme="majorHAnsi" w:cs="Times New Roman"/>
        </w:rPr>
        <w:t xml:space="preserve">There </w:t>
      </w:r>
      <w:r w:rsidR="00693486">
        <w:rPr>
          <w:rFonts w:asciiTheme="majorHAnsi" w:hAnsiTheme="majorHAnsi" w:cs="Times New Roman"/>
        </w:rPr>
        <w:t xml:space="preserve">were no differences among the phosphonate products applied alone. </w:t>
      </w:r>
      <w:r w:rsidRPr="00A1165D">
        <w:rPr>
          <w:rFonts w:asciiTheme="majorHAnsi" w:hAnsiTheme="majorHAnsi" w:cs="Times New Roman"/>
        </w:rPr>
        <w:t xml:space="preserve">Final leaf spot severity ratings and sAUDPC were lower for </w:t>
      </w:r>
      <w:r w:rsidR="00F82412">
        <w:rPr>
          <w:rFonts w:asciiTheme="majorHAnsi" w:hAnsiTheme="majorHAnsi" w:cs="Times New Roman"/>
        </w:rPr>
        <w:t>all three</w:t>
      </w:r>
      <w:r w:rsidRPr="00A1165D">
        <w:rPr>
          <w:rFonts w:asciiTheme="majorHAnsi" w:hAnsiTheme="majorHAnsi" w:cs="Times New Roman"/>
        </w:rPr>
        <w:t xml:space="preserve"> phosphonate + sulfur mixtures</w:t>
      </w:r>
      <w:r w:rsidR="00F82412">
        <w:rPr>
          <w:rFonts w:asciiTheme="majorHAnsi" w:hAnsiTheme="majorHAnsi" w:cs="Times New Roman"/>
        </w:rPr>
        <w:t xml:space="preserve"> treatment</w:t>
      </w:r>
      <w:r w:rsidR="00667DF4">
        <w:rPr>
          <w:rFonts w:asciiTheme="majorHAnsi" w:hAnsiTheme="majorHAnsi" w:cs="Times New Roman"/>
        </w:rPr>
        <w:t>s</w:t>
      </w:r>
      <w:r w:rsidRPr="00A1165D">
        <w:rPr>
          <w:rFonts w:asciiTheme="majorHAnsi" w:hAnsiTheme="majorHAnsi" w:cs="Times New Roman"/>
        </w:rPr>
        <w:t xml:space="preserve"> than for </w:t>
      </w:r>
      <w:r w:rsidR="00F82412">
        <w:rPr>
          <w:rFonts w:asciiTheme="majorHAnsi" w:hAnsiTheme="majorHAnsi" w:cs="Times New Roman"/>
        </w:rPr>
        <w:t>the chlorothalonil standard.</w:t>
      </w:r>
      <w:r w:rsidR="00647DB9">
        <w:rPr>
          <w:rFonts w:asciiTheme="majorHAnsi" w:hAnsiTheme="majorHAnsi" w:cs="Times New Roman"/>
        </w:rPr>
        <w:t xml:space="preserve"> There were no differences among the </w:t>
      </w:r>
      <w:r w:rsidR="005F6C30">
        <w:rPr>
          <w:rFonts w:asciiTheme="majorHAnsi" w:hAnsiTheme="majorHAnsi" w:cs="Times New Roman"/>
        </w:rPr>
        <w:t xml:space="preserve">three phosphonate treatments. </w:t>
      </w:r>
      <w:r w:rsidRPr="00A1165D">
        <w:rPr>
          <w:rFonts w:asciiTheme="majorHAnsi" w:hAnsiTheme="majorHAnsi" w:cs="Times New Roman"/>
        </w:rPr>
        <w:t xml:space="preserve"> These results indicate that</w:t>
      </w:r>
      <w:r w:rsidR="00AE00E9">
        <w:rPr>
          <w:rFonts w:asciiTheme="majorHAnsi" w:hAnsiTheme="majorHAnsi" w:cs="Times New Roman"/>
        </w:rPr>
        <w:t xml:space="preserve"> none of the phosphonate products evaluated were </w:t>
      </w:r>
      <w:r w:rsidR="00AB40E4">
        <w:rPr>
          <w:rFonts w:asciiTheme="majorHAnsi" w:hAnsiTheme="majorHAnsi" w:cs="Times New Roman"/>
        </w:rPr>
        <w:t>as effective as chlorothalonil standard when applied alone.  However</w:t>
      </w:r>
      <w:r w:rsidR="00357183">
        <w:rPr>
          <w:rFonts w:asciiTheme="majorHAnsi" w:hAnsiTheme="majorHAnsi" w:cs="Times New Roman"/>
        </w:rPr>
        <w:t>,</w:t>
      </w:r>
      <w:r w:rsidRPr="00A1165D">
        <w:rPr>
          <w:rFonts w:asciiTheme="majorHAnsi" w:hAnsiTheme="majorHAnsi" w:cs="Times New Roman"/>
        </w:rPr>
        <w:t xml:space="preserve"> the combination of </w:t>
      </w:r>
      <w:r w:rsidR="00357183">
        <w:rPr>
          <w:rFonts w:asciiTheme="majorHAnsi" w:hAnsiTheme="majorHAnsi" w:cs="Times New Roman"/>
        </w:rPr>
        <w:t>any of the</w:t>
      </w:r>
      <w:r w:rsidR="00986FE5">
        <w:rPr>
          <w:rFonts w:asciiTheme="majorHAnsi" w:hAnsiTheme="majorHAnsi" w:cs="Times New Roman"/>
        </w:rPr>
        <w:t>se</w:t>
      </w:r>
      <w:r w:rsidR="00357183">
        <w:rPr>
          <w:rFonts w:asciiTheme="majorHAnsi" w:hAnsiTheme="majorHAnsi" w:cs="Times New Roman"/>
        </w:rPr>
        <w:t xml:space="preserve"> three</w:t>
      </w:r>
      <w:r w:rsidRPr="00A1165D">
        <w:rPr>
          <w:rFonts w:asciiTheme="majorHAnsi" w:hAnsiTheme="majorHAnsi" w:cs="Times New Roman"/>
        </w:rPr>
        <w:t xml:space="preserve"> phosphonate fungicide</w:t>
      </w:r>
      <w:r w:rsidR="00357183">
        <w:rPr>
          <w:rFonts w:asciiTheme="majorHAnsi" w:hAnsiTheme="majorHAnsi" w:cs="Times New Roman"/>
        </w:rPr>
        <w:t>s</w:t>
      </w:r>
      <w:r w:rsidRPr="00A1165D">
        <w:rPr>
          <w:rFonts w:asciiTheme="majorHAnsi" w:hAnsiTheme="majorHAnsi" w:cs="Times New Roman"/>
        </w:rPr>
        <w:t xml:space="preserve"> with micronized elemental sulfur can be an effective treatment for management of leaf spot and has potential as an alternative to chlorothalonil for leaf spot control.</w:t>
      </w:r>
    </w:p>
    <w:p w14:paraId="2026119A" w14:textId="54A33A54" w:rsidR="007E7874" w:rsidRDefault="007E7874" w:rsidP="00A1165D">
      <w:pPr>
        <w:spacing w:after="120" w:line="240" w:lineRule="auto"/>
      </w:pPr>
    </w:p>
    <w:sectPr w:rsidR="007E78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40209" w14:textId="77777777" w:rsidR="00FF0ACD" w:rsidRDefault="00FF0ACD" w:rsidP="00E64573">
      <w:pPr>
        <w:spacing w:after="0" w:line="240" w:lineRule="auto"/>
      </w:pPr>
      <w:r>
        <w:separator/>
      </w:r>
    </w:p>
  </w:endnote>
  <w:endnote w:type="continuationSeparator" w:id="0">
    <w:p w14:paraId="64C173EB" w14:textId="77777777" w:rsidR="00FF0ACD" w:rsidRDefault="00FF0ACD" w:rsidP="00E64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53318" w14:textId="77777777" w:rsidR="00E64573" w:rsidRDefault="00E645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D1101" w14:textId="77777777" w:rsidR="00E64573" w:rsidRDefault="00E645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BFBF0" w14:textId="77777777" w:rsidR="00E64573" w:rsidRDefault="00E645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22EBE" w14:textId="77777777" w:rsidR="00FF0ACD" w:rsidRDefault="00FF0ACD" w:rsidP="00E64573">
      <w:pPr>
        <w:spacing w:after="0" w:line="240" w:lineRule="auto"/>
      </w:pPr>
      <w:r>
        <w:separator/>
      </w:r>
    </w:p>
  </w:footnote>
  <w:footnote w:type="continuationSeparator" w:id="0">
    <w:p w14:paraId="3A45F3D6" w14:textId="77777777" w:rsidR="00FF0ACD" w:rsidRDefault="00FF0ACD" w:rsidP="00E64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7A747" w14:textId="77777777" w:rsidR="00E64573" w:rsidRDefault="00E645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1CD12" w14:textId="7763389A" w:rsidR="00E64573" w:rsidRDefault="00E6457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CB540" w14:textId="77777777" w:rsidR="00E64573" w:rsidRDefault="00E645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21FC1"/>
    <w:rsid w:val="0003385E"/>
    <w:rsid w:val="000411D1"/>
    <w:rsid w:val="0004166F"/>
    <w:rsid w:val="00052F97"/>
    <w:rsid w:val="00080237"/>
    <w:rsid w:val="000B2FF2"/>
    <w:rsid w:val="00102DA0"/>
    <w:rsid w:val="00111EA0"/>
    <w:rsid w:val="001611FA"/>
    <w:rsid w:val="001A07B2"/>
    <w:rsid w:val="001A4332"/>
    <w:rsid w:val="001F20A7"/>
    <w:rsid w:val="0022495E"/>
    <w:rsid w:val="002410AD"/>
    <w:rsid w:val="003108A3"/>
    <w:rsid w:val="00312EA8"/>
    <w:rsid w:val="00357183"/>
    <w:rsid w:val="003918B0"/>
    <w:rsid w:val="003A2C8A"/>
    <w:rsid w:val="003E1514"/>
    <w:rsid w:val="003E1AEE"/>
    <w:rsid w:val="003F1C91"/>
    <w:rsid w:val="00444BA5"/>
    <w:rsid w:val="0049647E"/>
    <w:rsid w:val="004A436B"/>
    <w:rsid w:val="004A52F4"/>
    <w:rsid w:val="004B2819"/>
    <w:rsid w:val="004B4999"/>
    <w:rsid w:val="00503E86"/>
    <w:rsid w:val="0051160B"/>
    <w:rsid w:val="00515F4C"/>
    <w:rsid w:val="00527D8D"/>
    <w:rsid w:val="00544984"/>
    <w:rsid w:val="005F6C30"/>
    <w:rsid w:val="00611C8B"/>
    <w:rsid w:val="00631ACE"/>
    <w:rsid w:val="00647DB9"/>
    <w:rsid w:val="00667DF4"/>
    <w:rsid w:val="00686265"/>
    <w:rsid w:val="00692781"/>
    <w:rsid w:val="00693486"/>
    <w:rsid w:val="006A4F08"/>
    <w:rsid w:val="0071339C"/>
    <w:rsid w:val="0075028A"/>
    <w:rsid w:val="007A5ADD"/>
    <w:rsid w:val="007B441C"/>
    <w:rsid w:val="007E7874"/>
    <w:rsid w:val="00802218"/>
    <w:rsid w:val="00806FFD"/>
    <w:rsid w:val="00827F86"/>
    <w:rsid w:val="00846F4F"/>
    <w:rsid w:val="00896663"/>
    <w:rsid w:val="008F58A5"/>
    <w:rsid w:val="00950084"/>
    <w:rsid w:val="00971F28"/>
    <w:rsid w:val="00986FE5"/>
    <w:rsid w:val="009B2EAF"/>
    <w:rsid w:val="00A1165D"/>
    <w:rsid w:val="00A17B38"/>
    <w:rsid w:val="00A574C8"/>
    <w:rsid w:val="00AA15CD"/>
    <w:rsid w:val="00AB40E4"/>
    <w:rsid w:val="00AE00E9"/>
    <w:rsid w:val="00B127C7"/>
    <w:rsid w:val="00B64FAE"/>
    <w:rsid w:val="00B930C1"/>
    <w:rsid w:val="00B93C7A"/>
    <w:rsid w:val="00BF0167"/>
    <w:rsid w:val="00BF3C2A"/>
    <w:rsid w:val="00C1508C"/>
    <w:rsid w:val="00C657DB"/>
    <w:rsid w:val="00C87735"/>
    <w:rsid w:val="00C904AE"/>
    <w:rsid w:val="00CD5021"/>
    <w:rsid w:val="00D4246A"/>
    <w:rsid w:val="00D73DAB"/>
    <w:rsid w:val="00D7452E"/>
    <w:rsid w:val="00E34D39"/>
    <w:rsid w:val="00E63037"/>
    <w:rsid w:val="00E64573"/>
    <w:rsid w:val="00E817B4"/>
    <w:rsid w:val="00EE7D2A"/>
    <w:rsid w:val="00EF5AEB"/>
    <w:rsid w:val="00F07D4D"/>
    <w:rsid w:val="00F2651A"/>
    <w:rsid w:val="00F53577"/>
    <w:rsid w:val="00F82412"/>
    <w:rsid w:val="00F8330D"/>
    <w:rsid w:val="00FA1189"/>
    <w:rsid w:val="00FE54D6"/>
    <w:rsid w:val="00FF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645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573"/>
  </w:style>
  <w:style w:type="paragraph" w:styleId="Footer">
    <w:name w:val="footer"/>
    <w:basedOn w:val="Normal"/>
    <w:link w:val="FooterChar"/>
    <w:uiPriority w:val="99"/>
    <w:unhideWhenUsed/>
    <w:rsid w:val="00E645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3DB68-2D11-40AB-BA16-834EC3218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283</Words>
  <Characters>1717</Characters>
  <Application>Microsoft Office Word</Application>
  <DocSecurity>0</DocSecurity>
  <Lines>25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Albert K Culbreath</cp:lastModifiedBy>
  <cp:revision>53</cp:revision>
  <cp:lastPrinted>2026-03-24T15:47:00Z</cp:lastPrinted>
  <dcterms:created xsi:type="dcterms:W3CDTF">2026-03-24T13:58:00Z</dcterms:created>
  <dcterms:modified xsi:type="dcterms:W3CDTF">2026-03-26T19:21:00Z</dcterms:modified>
</cp:coreProperties>
</file>