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5B88F" w14:textId="77777777" w:rsidR="00A92AB6" w:rsidRPr="000A5C8E" w:rsidRDefault="00A92AB6" w:rsidP="00A92AB6">
      <w:pPr>
        <w:widowControl/>
        <w:spacing w:afterLines="120" w:after="374"/>
        <w:jc w:val="left"/>
        <w:rPr>
          <w:rFonts w:ascii="Aptos" w:hAnsi="Aptos"/>
          <w:b/>
          <w:bCs/>
          <w:color w:val="000000"/>
          <w:sz w:val="24"/>
          <w:szCs w:val="24"/>
        </w:rPr>
      </w:pPr>
      <w:r w:rsidRPr="000A5C8E">
        <w:rPr>
          <w:rFonts w:ascii="Aptos" w:hAnsi="Aptos"/>
          <w:b/>
          <w:bCs/>
          <w:color w:val="000000"/>
          <w:sz w:val="24"/>
          <w:szCs w:val="24"/>
        </w:rPr>
        <w:t>Raman Spectroscopy–Driven Multi-Trait Phenotyping and Machine Learning for Stress Tolerance and Oil Quality Assessment in Peanut</w:t>
      </w:r>
    </w:p>
    <w:p w14:paraId="577E2270" w14:textId="65C20F80" w:rsidR="00A92AB6" w:rsidRPr="000A5C8E" w:rsidRDefault="00A92AB6" w:rsidP="00A92AB6">
      <w:pPr>
        <w:widowControl/>
        <w:spacing w:afterLines="120" w:after="374"/>
        <w:rPr>
          <w:rStyle w:val="high-light-bg"/>
          <w:rFonts w:ascii="Aptos" w:hAnsi="Aptos"/>
          <w:b/>
          <w:bCs/>
          <w:color w:val="000000"/>
          <w:sz w:val="24"/>
          <w:szCs w:val="24"/>
        </w:rPr>
      </w:pPr>
      <w:r w:rsidRPr="000A5C8E">
        <w:rPr>
          <w:rStyle w:val="high-light-bg"/>
          <w:rFonts w:ascii="Aptos" w:hAnsi="Aptos"/>
          <w:sz w:val="24"/>
          <w:szCs w:val="24"/>
        </w:rPr>
        <w:t xml:space="preserve">PANKAJ, Y.K.¹, Cason, J.², Simpson, C.E.², </w:t>
      </w:r>
      <w:proofErr w:type="spellStart"/>
      <w:r w:rsidRPr="000A5C8E">
        <w:rPr>
          <w:rStyle w:val="high-light-bg"/>
          <w:rFonts w:ascii="Aptos" w:hAnsi="Aptos"/>
          <w:sz w:val="24"/>
          <w:szCs w:val="24"/>
        </w:rPr>
        <w:t>Kurouski</w:t>
      </w:r>
      <w:proofErr w:type="spellEnd"/>
      <w:r w:rsidRPr="000A5C8E">
        <w:rPr>
          <w:rStyle w:val="high-light-bg"/>
          <w:rFonts w:ascii="Aptos" w:hAnsi="Aptos"/>
          <w:sz w:val="24"/>
          <w:szCs w:val="24"/>
        </w:rPr>
        <w:t>, D.³, Stelly, D.¹, Burow, M.D.</w:t>
      </w:r>
      <w:r w:rsidRPr="000A5C8E">
        <w:rPr>
          <w:rStyle w:val="high-light-bg"/>
          <w:rFonts w:ascii="Aptos" w:hAnsi="Aptos"/>
          <w:sz w:val="24"/>
          <w:szCs w:val="24"/>
          <w:vertAlign w:val="superscript"/>
        </w:rPr>
        <w:t>1</w:t>
      </w:r>
      <w:r w:rsidRPr="000A5C8E">
        <w:rPr>
          <w:rStyle w:val="high-light-bg"/>
          <w:rFonts w:ascii="Aptos" w:hAnsi="Aptos"/>
          <w:sz w:val="24"/>
          <w:szCs w:val="24"/>
        </w:rPr>
        <w:t xml:space="preserve"> ¹Department of Soil and Crop Sciences, Texas A&amp;M University, College Station, TX ²Texas A&amp;M AgriLife Research, Texas A&amp;M University System, Stephenville, TX ³Department of Biochemistry and Biophysics, Texas A&amp;M University, College Station, TX, </w:t>
      </w:r>
      <w:r w:rsidRPr="000A5C8E">
        <w:rPr>
          <w:rStyle w:val="high-light-bg"/>
          <w:rFonts w:ascii="Aptos" w:hAnsi="Aptos" w:cs="Cambria Math"/>
          <w:sz w:val="24"/>
          <w:szCs w:val="24"/>
        </w:rPr>
        <w:t>⁴</w:t>
      </w:r>
      <w:r w:rsidRPr="000A5C8E">
        <w:rPr>
          <w:rStyle w:val="high-light-bg"/>
          <w:rFonts w:ascii="Aptos" w:hAnsi="Aptos"/>
          <w:sz w:val="24"/>
          <w:szCs w:val="24"/>
        </w:rPr>
        <w:t>Department of Plant and Soil Science, Texas Tech University, Lubbock, TX</w:t>
      </w:r>
    </w:p>
    <w:p w14:paraId="5C41FCAF" w14:textId="35C31447" w:rsidR="00061A96" w:rsidRPr="000A5C8E" w:rsidRDefault="00061A96" w:rsidP="00061A96">
      <w:pPr>
        <w:pStyle w:val="isselectedend"/>
        <w:jc w:val="both"/>
        <w:rPr>
          <w:rFonts w:ascii="Aptos" w:hAnsi="Aptos"/>
          <w:color w:val="000000"/>
        </w:rPr>
      </w:pPr>
      <w:r w:rsidRPr="000A5C8E">
        <w:rPr>
          <w:rFonts w:ascii="Aptos" w:hAnsi="Aptos"/>
          <w:color w:val="000000"/>
        </w:rPr>
        <w:t>Abiotic stresses such as salinity and drought significantly reduce peanut (Arachis hypogaea L.) productivity, while oil content and oleic acid composition determine nutritional and market value. In this study, handheld Raman spectroscopy integrated with machine learning</w:t>
      </w:r>
      <w:r w:rsidR="009C3691" w:rsidRPr="000A5C8E">
        <w:rPr>
          <w:rFonts w:ascii="Aptos" w:hAnsi="Aptos"/>
          <w:color w:val="000000"/>
        </w:rPr>
        <w:t xml:space="preserve"> (ML) </w:t>
      </w:r>
      <w:r w:rsidRPr="000A5C8E">
        <w:rPr>
          <w:rFonts w:ascii="Aptos" w:hAnsi="Aptos"/>
          <w:color w:val="000000"/>
        </w:rPr>
        <w:t>was applied in two complementary experiments: (1) stress phenotyping in 29 recombinant inbred lines (RILs), and (2) oil and oleic acid (O/L) prediction using single-seed</w:t>
      </w:r>
      <w:r w:rsidR="002D19AE" w:rsidRPr="000A5C8E">
        <w:rPr>
          <w:rFonts w:ascii="Aptos" w:hAnsi="Aptos"/>
          <w:color w:val="000000"/>
        </w:rPr>
        <w:t xml:space="preserve"> kernels</w:t>
      </w:r>
      <w:r w:rsidRPr="000A5C8E">
        <w:rPr>
          <w:rFonts w:ascii="Aptos" w:hAnsi="Aptos"/>
          <w:color w:val="000000"/>
        </w:rPr>
        <w:t>.</w:t>
      </w:r>
      <w:r w:rsidRPr="000A5C8E">
        <w:rPr>
          <w:rFonts w:ascii="Aptos" w:hAnsi="Aptos"/>
          <w:color w:val="000000"/>
        </w:rPr>
        <w:t xml:space="preserve"> </w:t>
      </w:r>
      <w:r w:rsidRPr="000A5C8E">
        <w:rPr>
          <w:rFonts w:ascii="Aptos" w:hAnsi="Aptos"/>
          <w:color w:val="000000"/>
        </w:rPr>
        <w:t>In the stress experiment, 29 RILs were exposed to salinity and drought over three weeks</w:t>
      </w:r>
      <w:r w:rsidRPr="000A5C8E">
        <w:rPr>
          <w:rFonts w:ascii="Aptos" w:hAnsi="Aptos"/>
          <w:color w:val="000000"/>
        </w:rPr>
        <w:t>,</w:t>
      </w:r>
      <w:r w:rsidRPr="000A5C8E">
        <w:rPr>
          <w:rFonts w:ascii="Aptos" w:hAnsi="Aptos"/>
          <w:color w:val="000000"/>
        </w:rPr>
        <w:t xml:space="preserve"> followed by </w:t>
      </w:r>
      <w:r w:rsidR="005320F2" w:rsidRPr="000A5C8E">
        <w:rPr>
          <w:rFonts w:ascii="Aptos" w:hAnsi="Aptos"/>
          <w:color w:val="000000"/>
        </w:rPr>
        <w:t xml:space="preserve">a </w:t>
      </w:r>
      <w:r w:rsidRPr="000A5C8E">
        <w:rPr>
          <w:rFonts w:ascii="Aptos" w:hAnsi="Aptos"/>
          <w:color w:val="000000"/>
        </w:rPr>
        <w:t>recovery</w:t>
      </w:r>
      <w:r w:rsidR="005320F2" w:rsidRPr="000A5C8E">
        <w:rPr>
          <w:rFonts w:ascii="Aptos" w:hAnsi="Aptos"/>
          <w:color w:val="000000"/>
        </w:rPr>
        <w:t xml:space="preserve"> week</w:t>
      </w:r>
      <w:r w:rsidRPr="000A5C8E">
        <w:rPr>
          <w:rFonts w:ascii="Aptos" w:hAnsi="Aptos"/>
          <w:color w:val="000000"/>
        </w:rPr>
        <w:t>.</w:t>
      </w:r>
      <w:r w:rsidR="00917512" w:rsidRPr="000A5C8E">
        <w:rPr>
          <w:rFonts w:ascii="Aptos" w:hAnsi="Aptos"/>
          <w:color w:val="000000"/>
        </w:rPr>
        <w:t xml:space="preserve"> </w:t>
      </w:r>
      <w:r w:rsidRPr="000A5C8E">
        <w:rPr>
          <w:rFonts w:ascii="Aptos" w:hAnsi="Aptos"/>
          <w:color w:val="000000"/>
        </w:rPr>
        <w:t xml:space="preserve">Raman </w:t>
      </w:r>
      <w:r w:rsidR="00917512" w:rsidRPr="000A5C8E">
        <w:rPr>
          <w:rFonts w:ascii="Aptos" w:hAnsi="Aptos"/>
          <w:color w:val="000000"/>
        </w:rPr>
        <w:t xml:space="preserve">spectroscopy </w:t>
      </w:r>
      <w:r w:rsidRPr="000A5C8E">
        <w:rPr>
          <w:rFonts w:ascii="Aptos" w:hAnsi="Aptos"/>
          <w:color w:val="000000"/>
        </w:rPr>
        <w:t>identified consistent stress biomarkers in carotenoid (~1155–1160, 1505–1545 cm</w:t>
      </w:r>
      <w:r w:rsidRPr="000A5C8E">
        <w:rPr>
          <w:rFonts w:ascii="Cambria Math" w:hAnsi="Cambria Math" w:cs="Cambria Math"/>
          <w:color w:val="000000"/>
        </w:rPr>
        <w:t>⁻</w:t>
      </w:r>
      <w:r w:rsidRPr="000A5C8E">
        <w:rPr>
          <w:rFonts w:ascii="Aptos" w:hAnsi="Aptos"/>
          <w:color w:val="000000"/>
        </w:rPr>
        <w:t>¹) and phenylpropanoid (~1600–1619 cm</w:t>
      </w:r>
      <w:r w:rsidRPr="000A5C8E">
        <w:rPr>
          <w:rFonts w:ascii="Cambria Math" w:hAnsi="Cambria Math" w:cs="Cambria Math"/>
          <w:color w:val="000000"/>
        </w:rPr>
        <w:t>⁻</w:t>
      </w:r>
      <w:r w:rsidRPr="000A5C8E">
        <w:rPr>
          <w:rFonts w:ascii="Aptos" w:hAnsi="Aptos"/>
          <w:color w:val="000000"/>
        </w:rPr>
        <w:t>¹) regions (FDR q &lt; 0.05). Random Forest models achieved high discrimination (salinity AUC ≈ 0.97; drought AUC ≈ 0.89). Recovery analysis identified TxL100212-05-10-02, TxL100225-06-02-01, and TxL100212-07-07-01 as highly tolerant, while TxL100225-06-04-02 was susceptible.</w:t>
      </w:r>
      <w:r w:rsidRPr="000A5C8E">
        <w:rPr>
          <w:rFonts w:ascii="Aptos" w:hAnsi="Aptos"/>
          <w:color w:val="000000"/>
        </w:rPr>
        <w:t xml:space="preserve"> </w:t>
      </w:r>
      <w:r w:rsidRPr="000A5C8E">
        <w:rPr>
          <w:rFonts w:ascii="Aptos" w:hAnsi="Aptos"/>
          <w:color w:val="000000"/>
        </w:rPr>
        <w:t>In the oil/O</w:t>
      </w:r>
      <w:r w:rsidR="004B0166" w:rsidRPr="000A5C8E">
        <w:rPr>
          <w:rFonts w:ascii="Aptos" w:hAnsi="Aptos"/>
          <w:color w:val="000000"/>
        </w:rPr>
        <w:t>L</w:t>
      </w:r>
      <w:r w:rsidRPr="000A5C8E">
        <w:rPr>
          <w:rFonts w:ascii="Aptos" w:hAnsi="Aptos"/>
          <w:color w:val="000000"/>
        </w:rPr>
        <w:t xml:space="preserve"> experiment, ~1,000 seeds were used </w:t>
      </w:r>
      <w:r w:rsidR="004B0166" w:rsidRPr="000A5C8E">
        <w:rPr>
          <w:rFonts w:ascii="Aptos" w:hAnsi="Aptos"/>
          <w:color w:val="000000"/>
        </w:rPr>
        <w:t xml:space="preserve">for ML </w:t>
      </w:r>
      <w:r w:rsidRPr="000A5C8E">
        <w:rPr>
          <w:rFonts w:ascii="Aptos" w:hAnsi="Aptos"/>
          <w:color w:val="000000"/>
        </w:rPr>
        <w:t>model development. Difference spectra revealed key lipid-associated bands at ~1440–1460 (CH₂ bending), ~1650–1660 (C=C stretching), and ~1740–1750 cm</w:t>
      </w:r>
      <w:r w:rsidRPr="000A5C8E">
        <w:rPr>
          <w:rFonts w:ascii="Cambria Math" w:hAnsi="Cambria Math" w:cs="Cambria Math"/>
          <w:color w:val="000000"/>
        </w:rPr>
        <w:t>⁻</w:t>
      </w:r>
      <w:r w:rsidRPr="000A5C8E">
        <w:rPr>
          <w:rFonts w:ascii="Aptos" w:hAnsi="Aptos"/>
          <w:color w:val="000000"/>
        </w:rPr>
        <w:t>¹ (C=O ester). Oleic</w:t>
      </w:r>
      <w:r w:rsidR="004B0166" w:rsidRPr="000A5C8E">
        <w:rPr>
          <w:rFonts w:ascii="Aptos" w:hAnsi="Aptos"/>
          <w:color w:val="000000"/>
        </w:rPr>
        <w:t xml:space="preserve">-related </w:t>
      </w:r>
      <w:r w:rsidRPr="000A5C8E">
        <w:rPr>
          <w:rFonts w:ascii="Aptos" w:hAnsi="Aptos"/>
          <w:color w:val="000000"/>
        </w:rPr>
        <w:t>profiles showed strong deviations near ~1655 and ~1745 cm</w:t>
      </w:r>
      <w:r w:rsidRPr="000A5C8E">
        <w:rPr>
          <w:rFonts w:ascii="Cambria Math" w:hAnsi="Cambria Math" w:cs="Cambria Math"/>
          <w:color w:val="000000"/>
        </w:rPr>
        <w:t>⁻</w:t>
      </w:r>
      <w:r w:rsidRPr="000A5C8E">
        <w:rPr>
          <w:rFonts w:ascii="Aptos" w:hAnsi="Aptos"/>
          <w:color w:val="000000"/>
        </w:rPr>
        <w:t>¹. Statistical analysis confirmed highly significant features (p &lt; 10</w:t>
      </w:r>
      <w:r w:rsidRPr="000A5C8E">
        <w:rPr>
          <w:rFonts w:ascii="Cambria Math" w:hAnsi="Cambria Math" w:cs="Cambria Math"/>
          <w:color w:val="000000"/>
        </w:rPr>
        <w:t>⁻</w:t>
      </w:r>
      <w:r w:rsidRPr="000A5C8E">
        <w:rPr>
          <w:rFonts w:ascii="Aptos" w:hAnsi="Aptos"/>
          <w:color w:val="000000"/>
        </w:rPr>
        <w:t>¹⁰; |Cohen’s d| &gt; 1). Machine learning achieved strong performance for both oil and oleic acid classification (AUC ≈ 0.86–0.88), and excellent generalization on true unseen genotype holdout data (AUC = 0.905).</w:t>
      </w:r>
      <w:r w:rsidRPr="000A5C8E">
        <w:rPr>
          <w:rFonts w:ascii="Aptos" w:hAnsi="Aptos"/>
          <w:color w:val="000000"/>
        </w:rPr>
        <w:t xml:space="preserve"> </w:t>
      </w:r>
      <w:r w:rsidRPr="000A5C8E">
        <w:rPr>
          <w:rFonts w:ascii="Aptos" w:hAnsi="Aptos"/>
          <w:color w:val="000000"/>
        </w:rPr>
        <w:t>These results demonstrate that Raman spectroscopy enables rapid, non-destructive, single-seed–level prediction of both stress tolerance and oil quality traits, providing a scalable platform for accelerating peanut breeding programs.</w:t>
      </w:r>
    </w:p>
    <w:p w14:paraId="2026119A" w14:textId="1BFF9D61" w:rsidR="007E7874" w:rsidRPr="000A5C8E" w:rsidRDefault="007E7874" w:rsidP="00A92AB6">
      <w:pPr>
        <w:spacing w:afterLines="120" w:after="374"/>
        <w:rPr>
          <w:rFonts w:ascii="Aptos" w:hAnsi="Aptos"/>
          <w:sz w:val="24"/>
          <w:szCs w:val="24"/>
        </w:rPr>
      </w:pPr>
    </w:p>
    <w:sectPr w:rsidR="007E7874" w:rsidRPr="000A5C8E" w:rsidSect="00A92AB6">
      <w:footerReference w:type="default" r:id="rId6"/>
      <w:pgSz w:w="11906" w:h="16838"/>
      <w:pgMar w:top="1440" w:right="1797" w:bottom="1440" w:left="1797"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99AD1" w14:textId="77777777" w:rsidR="001421F5" w:rsidRDefault="001421F5">
      <w:r>
        <w:separator/>
      </w:r>
    </w:p>
  </w:endnote>
  <w:endnote w:type="continuationSeparator" w:id="0">
    <w:p w14:paraId="71367462" w14:textId="77777777" w:rsidR="001421F5" w:rsidRDefault="0014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4185337"/>
    </w:sdtPr>
    <w:sdtContent>
      <w:p w14:paraId="0D24556A" w14:textId="77777777" w:rsidR="00A92AB6" w:rsidRDefault="00A92AB6">
        <w:pPr>
          <w:pStyle w:val="Footer"/>
          <w:jc w:val="center"/>
        </w:pPr>
        <w:r>
          <w:fldChar w:fldCharType="begin"/>
        </w:r>
        <w:r>
          <w:instrText>PAGE   \* MERGEFORMAT</w:instrText>
        </w:r>
        <w:r>
          <w:fldChar w:fldCharType="separate"/>
        </w:r>
        <w:r w:rsidRPr="00A328A7">
          <w:rPr>
            <w:noProof/>
            <w:lang w:val="zh-CN"/>
          </w:rPr>
          <w:t>21</w:t>
        </w:r>
        <w:r>
          <w:fldChar w:fldCharType="end"/>
        </w:r>
      </w:p>
    </w:sdtContent>
  </w:sdt>
  <w:p w14:paraId="45ED6A05" w14:textId="77777777" w:rsidR="00A92AB6" w:rsidRDefault="00A9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8EE91" w14:textId="77777777" w:rsidR="001421F5" w:rsidRDefault="001421F5">
      <w:r>
        <w:separator/>
      </w:r>
    </w:p>
  </w:footnote>
  <w:footnote w:type="continuationSeparator" w:id="0">
    <w:p w14:paraId="31A621D1" w14:textId="77777777" w:rsidR="001421F5" w:rsidRDefault="001421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411D1"/>
    <w:rsid w:val="00052F97"/>
    <w:rsid w:val="00061A96"/>
    <w:rsid w:val="000A04D7"/>
    <w:rsid w:val="000A5C8E"/>
    <w:rsid w:val="00102DA0"/>
    <w:rsid w:val="001421F5"/>
    <w:rsid w:val="001611FA"/>
    <w:rsid w:val="00293A8F"/>
    <w:rsid w:val="002D19AE"/>
    <w:rsid w:val="003108A3"/>
    <w:rsid w:val="003E1514"/>
    <w:rsid w:val="00444BA5"/>
    <w:rsid w:val="0049647E"/>
    <w:rsid w:val="004A436B"/>
    <w:rsid w:val="004B0166"/>
    <w:rsid w:val="00503E86"/>
    <w:rsid w:val="0051160B"/>
    <w:rsid w:val="00515F4C"/>
    <w:rsid w:val="00527D8D"/>
    <w:rsid w:val="005320F2"/>
    <w:rsid w:val="00544984"/>
    <w:rsid w:val="00611C8B"/>
    <w:rsid w:val="006A4F08"/>
    <w:rsid w:val="0071339C"/>
    <w:rsid w:val="00714FDB"/>
    <w:rsid w:val="007B441C"/>
    <w:rsid w:val="007E7874"/>
    <w:rsid w:val="00846F4F"/>
    <w:rsid w:val="00896663"/>
    <w:rsid w:val="00917512"/>
    <w:rsid w:val="00971F28"/>
    <w:rsid w:val="009C3691"/>
    <w:rsid w:val="00A574C8"/>
    <w:rsid w:val="00A92AB6"/>
    <w:rsid w:val="00B127C7"/>
    <w:rsid w:val="00B930C1"/>
    <w:rsid w:val="00B93C7A"/>
    <w:rsid w:val="00C657DB"/>
    <w:rsid w:val="00D73DAB"/>
    <w:rsid w:val="00DF021B"/>
    <w:rsid w:val="00E34D39"/>
    <w:rsid w:val="00E817B4"/>
    <w:rsid w:val="00EC1432"/>
    <w:rsid w:val="00EE7D2A"/>
    <w:rsid w:val="00F2651A"/>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AB6"/>
    <w:pPr>
      <w:widowControl w:val="0"/>
      <w:spacing w:after="0" w:line="240" w:lineRule="auto"/>
      <w:jc w:val="both"/>
    </w:pPr>
    <w:rPr>
      <w:rFonts w:eastAsiaTheme="minorEastAsia"/>
      <w:sz w:val="21"/>
      <w:szCs w:val="22"/>
      <w:lang w:eastAsia="zh-CN"/>
      <w14:ligatures w14:val="none"/>
    </w:rPr>
  </w:style>
  <w:style w:type="paragraph" w:styleId="Heading1">
    <w:name w:val="heading 1"/>
    <w:basedOn w:val="Normal"/>
    <w:next w:val="Normal"/>
    <w:link w:val="Heading1Char"/>
    <w:uiPriority w:val="9"/>
    <w:qFormat/>
    <w:rsid w:val="00B930C1"/>
    <w:pPr>
      <w:keepNext/>
      <w:keepLines/>
      <w:widowControl/>
      <w:spacing w:before="360" w:after="80" w:line="278" w:lineRule="auto"/>
      <w:jc w:val="left"/>
      <w:outlineLvl w:val="0"/>
    </w:pPr>
    <w:rPr>
      <w:rFonts w:asciiTheme="majorHAnsi" w:eastAsiaTheme="majorEastAsia" w:hAnsiTheme="majorHAnsi" w:cstheme="majorBidi"/>
      <w:color w:val="0F4761" w:themeColor="accent1" w:themeShade="BF"/>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930C1"/>
    <w:pPr>
      <w:keepNext/>
      <w:keepLines/>
      <w:widowControl/>
      <w:spacing w:before="160" w:after="80" w:line="278" w:lineRule="auto"/>
      <w:jc w:val="left"/>
      <w:outlineLvl w:val="1"/>
    </w:pPr>
    <w:rPr>
      <w:rFonts w:asciiTheme="majorHAnsi" w:eastAsiaTheme="majorEastAsia" w:hAnsiTheme="majorHAnsi" w:cstheme="majorBidi"/>
      <w:color w:val="0F4761" w:themeColor="accent1" w:themeShade="BF"/>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930C1"/>
    <w:pPr>
      <w:keepNext/>
      <w:keepLines/>
      <w:widowControl/>
      <w:spacing w:before="160" w:after="80" w:line="278" w:lineRule="auto"/>
      <w:jc w:val="left"/>
      <w:outlineLvl w:val="2"/>
    </w:pPr>
    <w:rPr>
      <w:rFonts w:eastAsiaTheme="majorEastAsia" w:cstheme="majorBidi"/>
      <w:color w:val="0F4761" w:themeColor="accent1" w:themeShade="BF"/>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930C1"/>
    <w:pPr>
      <w:keepNext/>
      <w:keepLines/>
      <w:widowControl/>
      <w:spacing w:before="80" w:after="40" w:line="278" w:lineRule="auto"/>
      <w:jc w:val="left"/>
      <w:outlineLvl w:val="3"/>
    </w:pPr>
    <w:rPr>
      <w:rFonts w:eastAsiaTheme="majorEastAsia" w:cstheme="majorBidi"/>
      <w:i/>
      <w:iCs/>
      <w:color w:val="0F4761" w:themeColor="accent1" w:themeShade="BF"/>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B930C1"/>
    <w:pPr>
      <w:keepNext/>
      <w:keepLines/>
      <w:widowControl/>
      <w:spacing w:before="80" w:after="40" w:line="278" w:lineRule="auto"/>
      <w:jc w:val="left"/>
      <w:outlineLvl w:val="4"/>
    </w:pPr>
    <w:rPr>
      <w:rFonts w:eastAsiaTheme="majorEastAsia" w:cstheme="majorBidi"/>
      <w:color w:val="0F4761" w:themeColor="accent1" w:themeShade="BF"/>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B930C1"/>
    <w:pPr>
      <w:keepNext/>
      <w:keepLines/>
      <w:widowControl/>
      <w:spacing w:before="40" w:line="278" w:lineRule="auto"/>
      <w:jc w:val="left"/>
      <w:outlineLvl w:val="5"/>
    </w:pPr>
    <w:rPr>
      <w:rFonts w:eastAsiaTheme="majorEastAsia" w:cstheme="majorBidi"/>
      <w:i/>
      <w:iCs/>
      <w:color w:val="595959" w:themeColor="text1" w:themeTint="A6"/>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B930C1"/>
    <w:pPr>
      <w:keepNext/>
      <w:keepLines/>
      <w:widowControl/>
      <w:spacing w:before="40" w:line="278" w:lineRule="auto"/>
      <w:jc w:val="left"/>
      <w:outlineLvl w:val="6"/>
    </w:pPr>
    <w:rPr>
      <w:rFonts w:eastAsiaTheme="majorEastAsia" w:cstheme="majorBidi"/>
      <w:color w:val="595959" w:themeColor="text1" w:themeTint="A6"/>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B930C1"/>
    <w:pPr>
      <w:keepNext/>
      <w:keepLines/>
      <w:widowControl/>
      <w:spacing w:line="278" w:lineRule="auto"/>
      <w:jc w:val="left"/>
      <w:outlineLvl w:val="7"/>
    </w:pPr>
    <w:rPr>
      <w:rFonts w:eastAsiaTheme="majorEastAsia" w:cstheme="majorBidi"/>
      <w:i/>
      <w:iCs/>
      <w:color w:val="272727" w:themeColor="text1" w:themeTint="D8"/>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B930C1"/>
    <w:pPr>
      <w:keepNext/>
      <w:keepLines/>
      <w:widowControl/>
      <w:spacing w:line="278" w:lineRule="auto"/>
      <w:jc w:val="left"/>
      <w:outlineLvl w:val="8"/>
    </w:pPr>
    <w:rPr>
      <w:rFonts w:eastAsiaTheme="majorEastAsia" w:cstheme="majorBidi"/>
      <w:color w:val="272727" w:themeColor="text1" w:themeTint="D8"/>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widowControl/>
      <w:spacing w:after="80"/>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widowControl/>
      <w:numPr>
        <w:ilvl w:val="1"/>
      </w:numPr>
      <w:spacing w:after="160" w:line="278" w:lineRule="auto"/>
      <w:jc w:val="left"/>
    </w:pPr>
    <w:rPr>
      <w:rFonts w:eastAsiaTheme="majorEastAsia" w:cstheme="majorBidi"/>
      <w:color w:val="595959" w:themeColor="text1" w:themeTint="A6"/>
      <w:spacing w:val="15"/>
      <w:sz w:val="28"/>
      <w:szCs w:val="28"/>
      <w:lang w:eastAsia="en-US"/>
      <w14:ligatures w14:val="standardContextual"/>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widowControl/>
      <w:spacing w:before="160" w:after="160" w:line="278" w:lineRule="auto"/>
      <w:jc w:val="center"/>
    </w:pPr>
    <w:rPr>
      <w:rFonts w:eastAsiaTheme="minorHAnsi"/>
      <w:i/>
      <w:iCs/>
      <w:color w:val="404040" w:themeColor="text1" w:themeTint="BF"/>
      <w:sz w:val="24"/>
      <w:szCs w:val="24"/>
      <w:lang w:eastAsia="en-US"/>
      <w14:ligatures w14:val="standardContextual"/>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widowControl/>
      <w:spacing w:after="160" w:line="278" w:lineRule="auto"/>
      <w:ind w:left="720"/>
      <w:contextualSpacing/>
      <w:jc w:val="left"/>
    </w:pPr>
    <w:rPr>
      <w:rFonts w:eastAsiaTheme="minorHAnsi"/>
      <w:sz w:val="24"/>
      <w:szCs w:val="24"/>
      <w:lang w:eastAsia="en-US"/>
      <w14:ligatures w14:val="standardContextual"/>
    </w:r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widowControl/>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sz w:val="24"/>
      <w:szCs w:val="24"/>
      <w:lang w:eastAsia="en-US"/>
      <w14:ligatures w14:val="standardContextual"/>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widowControl/>
      <w:spacing w:after="160"/>
      <w:jc w:val="left"/>
    </w:pPr>
    <w:rPr>
      <w:rFonts w:eastAsiaTheme="minorHAnsi"/>
      <w:sz w:val="20"/>
      <w:szCs w:val="20"/>
      <w:lang w:eastAsia="en-US"/>
      <w14:ligatures w14:val="standardContextual"/>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 w:type="paragraph" w:styleId="Footer">
    <w:name w:val="footer"/>
    <w:link w:val="FooterChar"/>
    <w:uiPriority w:val="99"/>
    <w:unhideWhenUsed/>
    <w:qFormat/>
    <w:rsid w:val="00A92AB6"/>
    <w:pPr>
      <w:widowControl w:val="0"/>
      <w:tabs>
        <w:tab w:val="center" w:pos="4153"/>
        <w:tab w:val="right" w:pos="8306"/>
      </w:tabs>
      <w:spacing w:after="0" w:line="240" w:lineRule="auto"/>
    </w:pPr>
    <w:rPr>
      <w:rFonts w:ascii="DengXian" w:eastAsia="DengXian" w:hAnsi="DengXian" w:cs="Times New Roman"/>
      <w:sz w:val="18"/>
      <w:szCs w:val="18"/>
      <w:lang w:eastAsia="zh-CN"/>
      <w14:ligatures w14:val="none"/>
    </w:rPr>
  </w:style>
  <w:style w:type="character" w:customStyle="1" w:styleId="FooterChar">
    <w:name w:val="Footer Char"/>
    <w:basedOn w:val="DefaultParagraphFont"/>
    <w:link w:val="Footer"/>
    <w:uiPriority w:val="99"/>
    <w:qFormat/>
    <w:rsid w:val="00A92AB6"/>
    <w:rPr>
      <w:rFonts w:ascii="DengXian" w:eastAsia="DengXian" w:hAnsi="DengXian" w:cs="Times New Roman"/>
      <w:sz w:val="18"/>
      <w:szCs w:val="18"/>
      <w:lang w:eastAsia="zh-CN"/>
      <w14:ligatures w14:val="none"/>
    </w:rPr>
  </w:style>
  <w:style w:type="character" w:customStyle="1" w:styleId="high-light-bg">
    <w:name w:val="high-light-bg"/>
    <w:basedOn w:val="DefaultParagraphFont"/>
    <w:qFormat/>
    <w:rsid w:val="00A92AB6"/>
  </w:style>
  <w:style w:type="paragraph" w:customStyle="1" w:styleId="isselectedend">
    <w:name w:val="isselectedend"/>
    <w:basedOn w:val="Normal"/>
    <w:rsid w:val="00061A96"/>
    <w:pPr>
      <w:widowControl/>
      <w:spacing w:before="100" w:beforeAutospacing="1" w:after="100" w:afterAutospacing="1"/>
      <w:jc w:val="left"/>
    </w:pPr>
    <w:rPr>
      <w:rFonts w:ascii="Times New Roman" w:eastAsia="Times New Roman" w:hAnsi="Times New Roman" w:cs="Times New Roman"/>
      <w:kern w:val="0"/>
      <w:sz w:val="24"/>
      <w:szCs w:val="24"/>
      <w:lang w:val="en-IN" w:eastAsia="en-GB"/>
    </w:rPr>
  </w:style>
  <w:style w:type="paragraph" w:styleId="NormalWeb">
    <w:name w:val="Normal (Web)"/>
    <w:basedOn w:val="Normal"/>
    <w:uiPriority w:val="99"/>
    <w:semiHidden/>
    <w:unhideWhenUsed/>
    <w:rsid w:val="00061A96"/>
    <w:pPr>
      <w:widowControl/>
      <w:spacing w:before="100" w:beforeAutospacing="1" w:after="100" w:afterAutospacing="1"/>
      <w:jc w:val="left"/>
    </w:pPr>
    <w:rPr>
      <w:rFonts w:ascii="Times New Roman" w:eastAsia="Times New Roman" w:hAnsi="Times New Roman" w:cs="Times New Roman"/>
      <w:kern w:val="0"/>
      <w:sz w:val="24"/>
      <w:szCs w:val="24"/>
      <w:lang w:val="en-I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346</Words>
  <Characters>1976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Pankaj, Yaswant K</cp:lastModifiedBy>
  <cp:revision>16</cp:revision>
  <dcterms:created xsi:type="dcterms:W3CDTF">2026-03-06T16:37:00Z</dcterms:created>
  <dcterms:modified xsi:type="dcterms:W3CDTF">2026-03-31T00:58:00Z</dcterms:modified>
</cp:coreProperties>
</file>