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87E489" w14:textId="29B2A51B" w:rsidR="008F0C07" w:rsidRPr="00A574C8" w:rsidRDefault="008F0C07" w:rsidP="002B6CFE">
      <w:pPr>
        <w:spacing w:after="120" w:line="240" w:lineRule="auto"/>
        <w:rPr>
          <w:b/>
          <w:bCs/>
        </w:rPr>
      </w:pPr>
      <w:r w:rsidRPr="00737A8C">
        <w:rPr>
          <w:b/>
          <w:bCs/>
        </w:rPr>
        <w:t>25 Years Large-plot</w:t>
      </w:r>
      <w:r w:rsidR="00651FA6">
        <w:rPr>
          <w:b/>
          <w:bCs/>
        </w:rPr>
        <w:t xml:space="preserve"> of</w:t>
      </w:r>
      <w:r w:rsidRPr="00737A8C">
        <w:rPr>
          <w:b/>
          <w:bCs/>
        </w:rPr>
        <w:t xml:space="preserve"> On-farm Fungicide Trials for UGA Extension</w:t>
      </w:r>
    </w:p>
    <w:p w14:paraId="2A57462B" w14:textId="67AD4E5A" w:rsidR="008F0C07" w:rsidRPr="009733C3" w:rsidRDefault="008F0C07" w:rsidP="00266D50">
      <w:pPr>
        <w:spacing w:after="240" w:line="240" w:lineRule="auto"/>
        <w:rPr>
          <w:vertAlign w:val="superscript"/>
        </w:rPr>
      </w:pPr>
      <w:r w:rsidRPr="00EA7D10">
        <w:rPr>
          <w:b/>
          <w:bCs/>
        </w:rPr>
        <w:t>L</w:t>
      </w:r>
      <w:r w:rsidR="00475232">
        <w:rPr>
          <w:b/>
          <w:bCs/>
        </w:rPr>
        <w:t>Y</w:t>
      </w:r>
      <w:r w:rsidRPr="00EA7D10">
        <w:rPr>
          <w:b/>
          <w:bCs/>
        </w:rPr>
        <w:t>, P.</w:t>
      </w:r>
      <w:r w:rsidRPr="00B930C1">
        <w:rPr>
          <w:vertAlign w:val="superscript"/>
        </w:rPr>
        <w:t>1</w:t>
      </w:r>
      <w:r w:rsidRPr="00B930C1">
        <w:t xml:space="preserve">, </w:t>
      </w:r>
      <w:proofErr w:type="spellStart"/>
      <w:r>
        <w:t>Kemerait</w:t>
      </w:r>
      <w:proofErr w:type="spellEnd"/>
      <w:r>
        <w:t>,</w:t>
      </w:r>
      <w:r w:rsidRPr="00B930C1">
        <w:t xml:space="preserve"> </w:t>
      </w:r>
      <w:r>
        <w:t>R.</w:t>
      </w:r>
      <w:r w:rsidRPr="00B930C1">
        <w:t>C</w:t>
      </w:r>
      <w:r>
        <w:t>.</w:t>
      </w:r>
      <w:r>
        <w:rPr>
          <w:vertAlign w:val="superscript"/>
        </w:rPr>
        <w:t>1</w:t>
      </w:r>
      <w:r>
        <w:t>, Tyson, W.</w:t>
      </w:r>
      <w:r>
        <w:rPr>
          <w:vertAlign w:val="superscript"/>
        </w:rPr>
        <w:t>2</w:t>
      </w:r>
      <w:r>
        <w:t>, Price, T.</w:t>
      </w:r>
      <w:r>
        <w:rPr>
          <w:vertAlign w:val="superscript"/>
        </w:rPr>
        <w:t>3</w:t>
      </w:r>
      <w:r>
        <w:t>, Hayes, B.</w:t>
      </w:r>
      <w:r>
        <w:rPr>
          <w:vertAlign w:val="superscript"/>
        </w:rPr>
        <w:t>4</w:t>
      </w:r>
      <w:r>
        <w:t>, McAllister, S.</w:t>
      </w:r>
      <w:r>
        <w:rPr>
          <w:vertAlign w:val="superscript"/>
        </w:rPr>
        <w:t>5</w:t>
      </w:r>
      <w:r>
        <w:t>, Crews, B.</w:t>
      </w:r>
      <w:r>
        <w:rPr>
          <w:vertAlign w:val="superscript"/>
        </w:rPr>
        <w:t>6</w:t>
      </w:r>
      <w:r>
        <w:t>, Lopez, C.</w:t>
      </w:r>
      <w:r>
        <w:rPr>
          <w:vertAlign w:val="superscript"/>
        </w:rPr>
        <w:t>7</w:t>
      </w:r>
      <w:r>
        <w:t>, Edwards, P.</w:t>
      </w:r>
      <w:r>
        <w:rPr>
          <w:vertAlign w:val="superscript"/>
        </w:rPr>
        <w:t>8</w:t>
      </w:r>
      <w:r>
        <w:t>, Anderson, H.</w:t>
      </w:r>
      <w:r>
        <w:rPr>
          <w:vertAlign w:val="superscript"/>
        </w:rPr>
        <w:t>8</w:t>
      </w:r>
      <w:r>
        <w:t>, Sanders, F.</w:t>
      </w:r>
      <w:r>
        <w:rPr>
          <w:vertAlign w:val="superscript"/>
        </w:rPr>
        <w:t>9</w:t>
      </w:r>
      <w:r>
        <w:t>, Sapp, P.</w:t>
      </w:r>
      <w:r>
        <w:rPr>
          <w:vertAlign w:val="superscript"/>
        </w:rPr>
        <w:t>10</w:t>
      </w:r>
      <w:r>
        <w:t>, Collins, C.</w:t>
      </w:r>
      <w:r>
        <w:rPr>
          <w:vertAlign w:val="superscript"/>
        </w:rPr>
        <w:t>10</w:t>
      </w:r>
      <w:r>
        <w:t>, Reeves, B.</w:t>
      </w:r>
      <w:r>
        <w:rPr>
          <w:vertAlign w:val="superscript"/>
        </w:rPr>
        <w:t>11</w:t>
      </w:r>
      <w:r>
        <w:t>, Barnes, T.</w:t>
      </w:r>
      <w:r>
        <w:rPr>
          <w:vertAlign w:val="superscript"/>
        </w:rPr>
        <w:t>12</w:t>
      </w:r>
      <w:r>
        <w:t>, Handcock, K.</w:t>
      </w:r>
      <w:r>
        <w:rPr>
          <w:vertAlign w:val="superscript"/>
        </w:rPr>
        <w:t>13</w:t>
      </w:r>
    </w:p>
    <w:p w14:paraId="204F4682" w14:textId="712BB6C3" w:rsidR="00B930C1" w:rsidRDefault="008F0C07" w:rsidP="008F0C07">
      <w:pPr>
        <w:spacing w:after="120" w:line="240" w:lineRule="auto"/>
      </w:pPr>
      <w:r>
        <w:rPr>
          <w:vertAlign w:val="superscript"/>
        </w:rPr>
        <w:t>1</w:t>
      </w:r>
      <w:r w:rsidRPr="00B930C1">
        <w:t>Department of Plant Pathology, University of Georgia, Tifton, GA</w:t>
      </w:r>
      <w:r>
        <w:t>.</w:t>
      </w:r>
      <w:r w:rsidRPr="00B930C1">
        <w:t xml:space="preserve"> </w:t>
      </w:r>
      <w:r>
        <w:rPr>
          <w:vertAlign w:val="superscript"/>
        </w:rPr>
        <w:t>2</w:t>
      </w:r>
      <w:r>
        <w:t xml:space="preserve">University of Georgia Extension, Bulloch County, GA. </w:t>
      </w:r>
      <w:r>
        <w:rPr>
          <w:vertAlign w:val="superscript"/>
        </w:rPr>
        <w:t>3</w:t>
      </w:r>
      <w:r>
        <w:t xml:space="preserve">University of Georgia Extension, Cook County, GA. </w:t>
      </w:r>
      <w:r>
        <w:rPr>
          <w:vertAlign w:val="superscript"/>
        </w:rPr>
        <w:t>4</w:t>
      </w:r>
      <w:r>
        <w:t xml:space="preserve">University of Georgia Extension, Mitchell County, GA. </w:t>
      </w:r>
      <w:r>
        <w:rPr>
          <w:vertAlign w:val="superscript"/>
        </w:rPr>
        <w:t>5</w:t>
      </w:r>
      <w:r>
        <w:t xml:space="preserve">University of Georgia Extension, Terrell County, GA. </w:t>
      </w:r>
      <w:r>
        <w:rPr>
          <w:vertAlign w:val="superscript"/>
        </w:rPr>
        <w:t>6</w:t>
      </w:r>
      <w:r>
        <w:t xml:space="preserve">University of Georgia Extension, Webster County, GA. </w:t>
      </w:r>
      <w:r>
        <w:rPr>
          <w:vertAlign w:val="superscript"/>
        </w:rPr>
        <w:t>7</w:t>
      </w:r>
      <w:r>
        <w:t xml:space="preserve">University of Georgia Extension, Sumter County, GA. </w:t>
      </w:r>
      <w:r>
        <w:rPr>
          <w:vertAlign w:val="superscript"/>
        </w:rPr>
        <w:t>8</w:t>
      </w:r>
      <w:r>
        <w:t xml:space="preserve">University of Georgia Extension, Irwin County, GA. </w:t>
      </w:r>
      <w:r>
        <w:rPr>
          <w:vertAlign w:val="superscript"/>
        </w:rPr>
        <w:t>9</w:t>
      </w:r>
      <w:r>
        <w:t xml:space="preserve">University of Georgia Extension, Ben Hill County, GA. </w:t>
      </w:r>
      <w:r>
        <w:rPr>
          <w:vertAlign w:val="superscript"/>
        </w:rPr>
        <w:t>10</w:t>
      </w:r>
      <w:r>
        <w:t>University of Georgia Extension,</w:t>
      </w:r>
      <w:r w:rsidRPr="00007C80">
        <w:t xml:space="preserve"> </w:t>
      </w:r>
      <w:r>
        <w:t xml:space="preserve">Burke County, GA. </w:t>
      </w:r>
      <w:r>
        <w:rPr>
          <w:vertAlign w:val="superscript"/>
        </w:rPr>
        <w:t>11</w:t>
      </w:r>
      <w:r>
        <w:t xml:space="preserve">University of Georgia Extension, Berrien County, GA. </w:t>
      </w:r>
      <w:r>
        <w:rPr>
          <w:vertAlign w:val="superscript"/>
        </w:rPr>
        <w:t>12</w:t>
      </w:r>
      <w:r>
        <w:t xml:space="preserve">University of Georgia Extension, Atkinson County, GA. </w:t>
      </w:r>
      <w:r>
        <w:rPr>
          <w:vertAlign w:val="superscript"/>
        </w:rPr>
        <w:t>13</w:t>
      </w:r>
      <w:r>
        <w:t>University of Georgia Extension, Early County, GA.</w:t>
      </w:r>
      <w:r w:rsidR="00B930C1" w:rsidRPr="00B930C1">
        <w:t xml:space="preserve"> </w:t>
      </w:r>
    </w:p>
    <w:p w14:paraId="4FC9A75D" w14:textId="1062B0A9" w:rsidR="00A1401F" w:rsidRDefault="008F0C07" w:rsidP="004A78B8">
      <w:pPr>
        <w:spacing w:before="120" w:after="120" w:line="240" w:lineRule="auto"/>
      </w:pPr>
      <w:r w:rsidRPr="00AD1327">
        <w:t>Peanut (</w:t>
      </w:r>
      <w:r w:rsidRPr="00AD1327">
        <w:rPr>
          <w:i/>
          <w:iCs/>
        </w:rPr>
        <w:t>Arachis hypogaea</w:t>
      </w:r>
      <w:r w:rsidRPr="00AD1327">
        <w:t xml:space="preserve">) growers in Georgia receive research-based disease management information through </w:t>
      </w:r>
      <w:r>
        <w:t xml:space="preserve">the </w:t>
      </w:r>
      <w:r w:rsidRPr="00AD1327">
        <w:t>University of Georgia Extension specialists and county agents</w:t>
      </w:r>
      <w:r>
        <w:t xml:space="preserve">. </w:t>
      </w:r>
      <w:r w:rsidR="00087841">
        <w:t xml:space="preserve">To provide updated </w:t>
      </w:r>
      <w:r w:rsidR="000413BE">
        <w:t>and essential management recommendations and promote professional development</w:t>
      </w:r>
      <w:r w:rsidR="000D6A65">
        <w:t xml:space="preserve"> for county agents</w:t>
      </w:r>
      <w:r w:rsidR="000413BE">
        <w:t xml:space="preserve">, ongoing field research trials are being conducted in collaboration with industry. </w:t>
      </w:r>
      <w:r>
        <w:t xml:space="preserve">A program to coordinate large-plot, on-farm fungicide studies among county agents in Georgia was initiated in 2001. This </w:t>
      </w:r>
      <w:r w:rsidR="00FC5269">
        <w:t>initiative</w:t>
      </w:r>
      <w:r>
        <w:t xml:space="preserve"> </w:t>
      </w:r>
      <w:r w:rsidR="0045134C" w:rsidRPr="00EA4F9A">
        <w:t>evaluates</w:t>
      </w:r>
      <w:r>
        <w:t xml:space="preserve"> full-season </w:t>
      </w:r>
      <w:r w:rsidRPr="00EA4F9A">
        <w:t>fungicide programs across the peanut production region</w:t>
      </w:r>
      <w:r w:rsidR="00805FA4">
        <w:t>s</w:t>
      </w:r>
      <w:r w:rsidRPr="00EA4F9A">
        <w:t xml:space="preserve"> </w:t>
      </w:r>
      <w:r>
        <w:t>in the state</w:t>
      </w:r>
      <w:r w:rsidR="0045134C">
        <w:t>. These regions</w:t>
      </w:r>
      <w:r w:rsidR="00805FA4">
        <w:t xml:space="preserve"> may vary in </w:t>
      </w:r>
      <w:r w:rsidRPr="00EA4F9A">
        <w:t>diseases, weather, and soil</w:t>
      </w:r>
      <w:r w:rsidR="00805FA4">
        <w:t xml:space="preserve"> type</w:t>
      </w:r>
      <w:r w:rsidR="0030427B">
        <w:t>s</w:t>
      </w:r>
      <w:r w:rsidR="001F7943">
        <w:t xml:space="preserve"> </w:t>
      </w:r>
      <w:r w:rsidR="00EF2795">
        <w:t>affect</w:t>
      </w:r>
      <w:r w:rsidR="001F7943">
        <w:t>ing</w:t>
      </w:r>
      <w:r w:rsidR="00EF2795">
        <w:t xml:space="preserve"> the performance of fungicides</w:t>
      </w:r>
      <w:r>
        <w:t>.</w:t>
      </w:r>
      <w:r w:rsidR="001F7943">
        <w:t xml:space="preserve"> For</w:t>
      </w:r>
      <w:r w:rsidR="004B2C31">
        <w:t xml:space="preserve"> </w:t>
      </w:r>
      <w:r w:rsidR="00431CA3">
        <w:t xml:space="preserve">25 years, </w:t>
      </w:r>
      <w:r w:rsidR="00D65D68">
        <w:t>i</w:t>
      </w:r>
      <w:r w:rsidR="00A56799">
        <w:t xml:space="preserve">ndustry partners such as </w:t>
      </w:r>
      <w:r w:rsidR="00EE2AF7">
        <w:t>Syngenta</w:t>
      </w:r>
      <w:r w:rsidR="00431CA3" w:rsidRPr="00B440FA">
        <w:t>, BASF, Bayer CropScience, FMC, VALENT, CORTEVA, ADAMA, and NICHINO America</w:t>
      </w:r>
      <w:r w:rsidR="00BD7DA7" w:rsidRPr="00B440FA">
        <w:t xml:space="preserve"> have participated. </w:t>
      </w:r>
      <w:r w:rsidR="00A56799">
        <w:t>Prescri</w:t>
      </w:r>
      <w:r w:rsidR="00680ED5">
        <w:t>bed</w:t>
      </w:r>
      <w:r w:rsidR="00DF134E">
        <w:t xml:space="preserve"> programs and fungicides supplied by industry representatives</w:t>
      </w:r>
      <w:r w:rsidR="00EF6C7B">
        <w:t xml:space="preserve"> are distributed to </w:t>
      </w:r>
      <w:r w:rsidR="001C78D6">
        <w:t>county agents</w:t>
      </w:r>
      <w:r w:rsidR="00EF6C7B">
        <w:t xml:space="preserve"> for </w:t>
      </w:r>
      <w:r w:rsidR="00431CA3" w:rsidRPr="00B440FA">
        <w:t>compar</w:t>
      </w:r>
      <w:r w:rsidR="00EF6C7B">
        <w:t>ison</w:t>
      </w:r>
      <w:r w:rsidR="00431CA3" w:rsidRPr="00B440FA">
        <w:t xml:space="preserve"> against a traditional program of chlorothalonil and tebuconazole</w:t>
      </w:r>
      <w:r w:rsidRPr="00B440FA">
        <w:t>.</w:t>
      </w:r>
      <w:r w:rsidR="00330251" w:rsidRPr="00B440FA">
        <w:t xml:space="preserve"> </w:t>
      </w:r>
      <w:r w:rsidR="00053ABF">
        <w:t xml:space="preserve">There are typically 8-12 treatments in a study with </w:t>
      </w:r>
      <w:r w:rsidR="00116C6A">
        <w:t>plot size ranging from 6-18 row</w:t>
      </w:r>
      <w:r w:rsidR="0020417C">
        <w:t>s</w:t>
      </w:r>
      <w:r w:rsidR="00116C6A">
        <w:t xml:space="preserve"> across the length of the field</w:t>
      </w:r>
      <w:r w:rsidR="003D1C4C" w:rsidRPr="00B440FA">
        <w:t xml:space="preserve">. </w:t>
      </w:r>
      <w:r w:rsidRPr="00B440FA">
        <w:t>Each plot is rated for early and late leaf spots (</w:t>
      </w:r>
      <w:proofErr w:type="spellStart"/>
      <w:r w:rsidRPr="00B440FA">
        <w:rPr>
          <w:i/>
          <w:iCs/>
        </w:rPr>
        <w:t>Passalora</w:t>
      </w:r>
      <w:proofErr w:type="spellEnd"/>
      <w:r w:rsidRPr="00B440FA">
        <w:rPr>
          <w:i/>
          <w:iCs/>
        </w:rPr>
        <w:t xml:space="preserve"> </w:t>
      </w:r>
      <w:proofErr w:type="spellStart"/>
      <w:r w:rsidRPr="00B440FA">
        <w:rPr>
          <w:i/>
          <w:iCs/>
        </w:rPr>
        <w:t>arachidicola</w:t>
      </w:r>
      <w:proofErr w:type="spellEnd"/>
      <w:r w:rsidRPr="00B440FA">
        <w:t xml:space="preserve"> and </w:t>
      </w:r>
      <w:proofErr w:type="spellStart"/>
      <w:r w:rsidRPr="00B440FA">
        <w:rPr>
          <w:i/>
          <w:iCs/>
        </w:rPr>
        <w:t>Nothopassalora</w:t>
      </w:r>
      <w:proofErr w:type="spellEnd"/>
      <w:r w:rsidRPr="00B440FA">
        <w:rPr>
          <w:i/>
          <w:iCs/>
        </w:rPr>
        <w:t xml:space="preserve"> personata</w:t>
      </w:r>
      <w:r w:rsidRPr="00B440FA">
        <w:t>)</w:t>
      </w:r>
      <w:r w:rsidR="00BD142C">
        <w:t xml:space="preserve"> using </w:t>
      </w:r>
      <w:r w:rsidR="00CE1B42">
        <w:t xml:space="preserve">the </w:t>
      </w:r>
      <w:r w:rsidR="00BD142C">
        <w:t>Florida</w:t>
      </w:r>
      <w:r w:rsidR="00203811">
        <w:t xml:space="preserve"> 1-10</w:t>
      </w:r>
      <w:r w:rsidR="00BD142C">
        <w:t xml:space="preserve"> scale</w:t>
      </w:r>
      <w:r w:rsidR="00AF1133">
        <w:t xml:space="preserve"> and</w:t>
      </w:r>
      <w:r w:rsidRPr="00B440FA">
        <w:t xml:space="preserve"> </w:t>
      </w:r>
      <w:r w:rsidR="00546C03">
        <w:t>S</w:t>
      </w:r>
      <w:r w:rsidRPr="00B440FA">
        <w:t>outhern blight (</w:t>
      </w:r>
      <w:proofErr w:type="spellStart"/>
      <w:r w:rsidRPr="00B440FA">
        <w:rPr>
          <w:i/>
          <w:iCs/>
        </w:rPr>
        <w:t>Agroathelia</w:t>
      </w:r>
      <w:proofErr w:type="spellEnd"/>
      <w:r w:rsidRPr="00B440FA">
        <w:rPr>
          <w:i/>
          <w:iCs/>
        </w:rPr>
        <w:t xml:space="preserve"> </w:t>
      </w:r>
      <w:proofErr w:type="spellStart"/>
      <w:r w:rsidRPr="00B440FA">
        <w:rPr>
          <w:i/>
          <w:iCs/>
        </w:rPr>
        <w:t>rolfsii</w:t>
      </w:r>
      <w:proofErr w:type="spellEnd"/>
      <w:r w:rsidRPr="00B440FA">
        <w:t>)</w:t>
      </w:r>
      <w:r w:rsidR="00BD142C">
        <w:t xml:space="preserve"> </w:t>
      </w:r>
      <w:r w:rsidR="00203811">
        <w:t>based on</w:t>
      </w:r>
      <w:r w:rsidR="00BD142C">
        <w:t xml:space="preserve"> “hit</w:t>
      </w:r>
      <w:r w:rsidR="000F37C9">
        <w:t>s</w:t>
      </w:r>
      <w:r w:rsidR="00BD142C">
        <w:t>”</w:t>
      </w:r>
      <w:r w:rsidRPr="00B440FA">
        <w:t>. Results from these studies consistently demonstrated the benefit</w:t>
      </w:r>
      <w:r w:rsidR="009F087C">
        <w:t>s</w:t>
      </w:r>
      <w:r w:rsidRPr="00B440FA">
        <w:t xml:space="preserve"> of newer fungicide</w:t>
      </w:r>
      <w:r>
        <w:t xml:space="preserve"> programs both in terms of leaf spot</w:t>
      </w:r>
      <w:r w:rsidR="009F087C">
        <w:t xml:space="preserve"> control,</w:t>
      </w:r>
      <w:r>
        <w:t xml:space="preserve"> southern blight control</w:t>
      </w:r>
      <w:r w:rsidR="009F087C">
        <w:t>,</w:t>
      </w:r>
      <w:r>
        <w:t xml:space="preserve"> and yield. </w:t>
      </w:r>
      <w:r w:rsidR="00144FA0">
        <w:t>R</w:t>
      </w:r>
      <w:r w:rsidR="00935B9A">
        <w:t xml:space="preserve">esults </w:t>
      </w:r>
      <w:r w:rsidR="00144FA0">
        <w:t>are</w:t>
      </w:r>
      <w:r w:rsidR="00935B9A">
        <w:t xml:space="preserve"> presented at grower </w:t>
      </w:r>
      <w:r w:rsidR="00A1194B">
        <w:t>meetings and</w:t>
      </w:r>
      <w:r w:rsidR="00EA276D">
        <w:t xml:space="preserve"> </w:t>
      </w:r>
      <w:r w:rsidR="00A1194B">
        <w:t>used</w:t>
      </w:r>
      <w:r w:rsidR="00EA276D">
        <w:t xml:space="preserve"> by county agent</w:t>
      </w:r>
      <w:r w:rsidR="00203811">
        <w:t>s</w:t>
      </w:r>
      <w:r w:rsidR="00935B9A">
        <w:t xml:space="preserve"> at professional meetings </w:t>
      </w:r>
      <w:r w:rsidR="00203811">
        <w:t>on the</w:t>
      </w:r>
      <w:r w:rsidR="00935B9A">
        <w:t xml:space="preserve"> regional, state, and national levels</w:t>
      </w:r>
      <w:r w:rsidR="0034598F">
        <w:t xml:space="preserve"> for </w:t>
      </w:r>
      <w:r w:rsidR="00331304">
        <w:t>professional</w:t>
      </w:r>
      <w:r w:rsidR="0034598F">
        <w:t xml:space="preserve"> development</w:t>
      </w:r>
      <w:r w:rsidR="00935B9A">
        <w:t xml:space="preserve">. This information is used to develop research-based, </w:t>
      </w:r>
      <w:r w:rsidR="004401AF">
        <w:t>non</w:t>
      </w:r>
      <w:r w:rsidR="00054C77">
        <w:t>-biased</w:t>
      </w:r>
      <w:r w:rsidR="00935B9A">
        <w:t xml:space="preserve"> management recommendations.</w:t>
      </w:r>
      <w:r w:rsidR="00346973">
        <w:t xml:space="preserve"> </w:t>
      </w:r>
    </w:p>
    <w:sectPr w:rsidR="00A140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aunPenh">
    <w:panose1 w:val="01010101010101010101"/>
    <w:charset w:val="00"/>
    <w:family w:val="auto"/>
    <w:pitch w:val="variable"/>
    <w:sig w:usb0="80000003" w:usb1="00000000" w:usb2="0001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olBoran">
    <w:panose1 w:val="020B0100010101010101"/>
    <w:charset w:val="00"/>
    <w:family w:val="swiss"/>
    <w:pitch w:val="variable"/>
    <w:sig w:usb0="80000003" w:usb1="00000000" w:usb2="0001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30C1"/>
    <w:rsid w:val="00002E73"/>
    <w:rsid w:val="00016DD5"/>
    <w:rsid w:val="0001759B"/>
    <w:rsid w:val="00021FC1"/>
    <w:rsid w:val="000233FB"/>
    <w:rsid w:val="0003455C"/>
    <w:rsid w:val="000411D1"/>
    <w:rsid w:val="000413BE"/>
    <w:rsid w:val="00046E30"/>
    <w:rsid w:val="00052F97"/>
    <w:rsid w:val="00053ABF"/>
    <w:rsid w:val="00054C77"/>
    <w:rsid w:val="0007281F"/>
    <w:rsid w:val="00087841"/>
    <w:rsid w:val="000B58F4"/>
    <w:rsid w:val="000C218B"/>
    <w:rsid w:val="000D6A65"/>
    <w:rsid w:val="000E70A3"/>
    <w:rsid w:val="000F37C9"/>
    <w:rsid w:val="000F55B0"/>
    <w:rsid w:val="00102DA0"/>
    <w:rsid w:val="0010556A"/>
    <w:rsid w:val="00116C6A"/>
    <w:rsid w:val="00125B13"/>
    <w:rsid w:val="00135EE3"/>
    <w:rsid w:val="00144FA0"/>
    <w:rsid w:val="001611FA"/>
    <w:rsid w:val="00186D64"/>
    <w:rsid w:val="001C2E50"/>
    <w:rsid w:val="001C78D6"/>
    <w:rsid w:val="001F7943"/>
    <w:rsid w:val="00203811"/>
    <w:rsid w:val="0020417C"/>
    <w:rsid w:val="00263209"/>
    <w:rsid w:val="00266D50"/>
    <w:rsid w:val="002B09A9"/>
    <w:rsid w:val="002B6CFE"/>
    <w:rsid w:val="002C3837"/>
    <w:rsid w:val="0030427B"/>
    <w:rsid w:val="003108A3"/>
    <w:rsid w:val="00330251"/>
    <w:rsid w:val="00331304"/>
    <w:rsid w:val="0034598F"/>
    <w:rsid w:val="00346973"/>
    <w:rsid w:val="003A3350"/>
    <w:rsid w:val="003C6E61"/>
    <w:rsid w:val="003D1C4C"/>
    <w:rsid w:val="003D7809"/>
    <w:rsid w:val="003E1514"/>
    <w:rsid w:val="00431CA3"/>
    <w:rsid w:val="004401AF"/>
    <w:rsid w:val="00444BA5"/>
    <w:rsid w:val="00445233"/>
    <w:rsid w:val="0045134C"/>
    <w:rsid w:val="00475232"/>
    <w:rsid w:val="00490015"/>
    <w:rsid w:val="0049647E"/>
    <w:rsid w:val="004A436B"/>
    <w:rsid w:val="004A78B8"/>
    <w:rsid w:val="004B2C31"/>
    <w:rsid w:val="004D4DB0"/>
    <w:rsid w:val="00503E86"/>
    <w:rsid w:val="0051160B"/>
    <w:rsid w:val="00515F4C"/>
    <w:rsid w:val="00524CFC"/>
    <w:rsid w:val="00527D8D"/>
    <w:rsid w:val="00544984"/>
    <w:rsid w:val="00546C03"/>
    <w:rsid w:val="005A7C7E"/>
    <w:rsid w:val="005D0437"/>
    <w:rsid w:val="005D21B8"/>
    <w:rsid w:val="005F5918"/>
    <w:rsid w:val="00605271"/>
    <w:rsid w:val="00611C8B"/>
    <w:rsid w:val="006162C5"/>
    <w:rsid w:val="00625C41"/>
    <w:rsid w:val="00645649"/>
    <w:rsid w:val="00651FA6"/>
    <w:rsid w:val="00680B5F"/>
    <w:rsid w:val="00680ED5"/>
    <w:rsid w:val="006A4F08"/>
    <w:rsid w:val="006E2CF6"/>
    <w:rsid w:val="007049B6"/>
    <w:rsid w:val="0071339C"/>
    <w:rsid w:val="00714513"/>
    <w:rsid w:val="00731C9D"/>
    <w:rsid w:val="00732512"/>
    <w:rsid w:val="007820DB"/>
    <w:rsid w:val="007B441C"/>
    <w:rsid w:val="007B7FCD"/>
    <w:rsid w:val="007C6D32"/>
    <w:rsid w:val="007E7874"/>
    <w:rsid w:val="007F7129"/>
    <w:rsid w:val="008041F7"/>
    <w:rsid w:val="00805FA4"/>
    <w:rsid w:val="00807541"/>
    <w:rsid w:val="00846579"/>
    <w:rsid w:val="00846F4F"/>
    <w:rsid w:val="00886E9B"/>
    <w:rsid w:val="00896663"/>
    <w:rsid w:val="008A05D1"/>
    <w:rsid w:val="008A6DDB"/>
    <w:rsid w:val="008F0C07"/>
    <w:rsid w:val="00935B9A"/>
    <w:rsid w:val="00971F28"/>
    <w:rsid w:val="00972B00"/>
    <w:rsid w:val="009D0A97"/>
    <w:rsid w:val="009F087C"/>
    <w:rsid w:val="00A1194B"/>
    <w:rsid w:val="00A1401F"/>
    <w:rsid w:val="00A15C7A"/>
    <w:rsid w:val="00A22664"/>
    <w:rsid w:val="00A24975"/>
    <w:rsid w:val="00A56799"/>
    <w:rsid w:val="00A574C8"/>
    <w:rsid w:val="00AE66D3"/>
    <w:rsid w:val="00AF1133"/>
    <w:rsid w:val="00B127C7"/>
    <w:rsid w:val="00B2622C"/>
    <w:rsid w:val="00B41EAC"/>
    <w:rsid w:val="00B440FA"/>
    <w:rsid w:val="00B7733A"/>
    <w:rsid w:val="00B930C1"/>
    <w:rsid w:val="00B93C7A"/>
    <w:rsid w:val="00B9694E"/>
    <w:rsid w:val="00BD142C"/>
    <w:rsid w:val="00BD7DA7"/>
    <w:rsid w:val="00C265C8"/>
    <w:rsid w:val="00C4501C"/>
    <w:rsid w:val="00C657DB"/>
    <w:rsid w:val="00C66C62"/>
    <w:rsid w:val="00C70BD5"/>
    <w:rsid w:val="00C75D89"/>
    <w:rsid w:val="00CE1B42"/>
    <w:rsid w:val="00CF2197"/>
    <w:rsid w:val="00D45A21"/>
    <w:rsid w:val="00D52283"/>
    <w:rsid w:val="00D65D68"/>
    <w:rsid w:val="00D667AB"/>
    <w:rsid w:val="00D73DAB"/>
    <w:rsid w:val="00D92773"/>
    <w:rsid w:val="00DB0ECF"/>
    <w:rsid w:val="00DB334D"/>
    <w:rsid w:val="00DC579A"/>
    <w:rsid w:val="00DF134E"/>
    <w:rsid w:val="00E34D39"/>
    <w:rsid w:val="00E56025"/>
    <w:rsid w:val="00E817B4"/>
    <w:rsid w:val="00EA276D"/>
    <w:rsid w:val="00EB37F9"/>
    <w:rsid w:val="00EC0D14"/>
    <w:rsid w:val="00ED07C3"/>
    <w:rsid w:val="00EE2AF7"/>
    <w:rsid w:val="00EE7D2A"/>
    <w:rsid w:val="00EF2795"/>
    <w:rsid w:val="00EF6C7B"/>
    <w:rsid w:val="00F2651A"/>
    <w:rsid w:val="00F55730"/>
    <w:rsid w:val="00F81164"/>
    <w:rsid w:val="00F97770"/>
    <w:rsid w:val="00FA1189"/>
    <w:rsid w:val="00FC5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AA90B6"/>
  <w15:chartTrackingRefBased/>
  <w15:docId w15:val="{582E4CBD-7275-48C7-9CDC-E860E38E76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30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30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30C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30C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30C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30C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30C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30C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30C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30C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30C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30C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30C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30C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30C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30C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30C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30C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30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30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30C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30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30C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30C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30C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30C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30C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30C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30C1"/>
    <w:rPr>
      <w:b/>
      <w:bCs/>
      <w:smallCaps/>
      <w:color w:val="0F4761" w:themeColor="accent1" w:themeShade="BF"/>
      <w:spacing w:val="5"/>
    </w:rPr>
  </w:style>
  <w:style w:type="paragraph" w:styleId="Revision">
    <w:name w:val="Revision"/>
    <w:hidden/>
    <w:uiPriority w:val="99"/>
    <w:semiHidden/>
    <w:rsid w:val="000411D1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0411D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411D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411D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11D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11D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71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378</Words>
  <Characters>2375</Characters>
  <Application>Microsoft Office Word</Application>
  <DocSecurity>0</DocSecurity>
  <Lines>34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 K Culbreath</dc:creator>
  <cp:keywords/>
  <dc:description/>
  <cp:lastModifiedBy>Penghaing Ly</cp:lastModifiedBy>
  <cp:revision>126</cp:revision>
  <cp:lastPrinted>2026-03-31T19:56:00Z</cp:lastPrinted>
  <dcterms:created xsi:type="dcterms:W3CDTF">2026-03-31T17:25:00Z</dcterms:created>
  <dcterms:modified xsi:type="dcterms:W3CDTF">2026-03-31T20:57:00Z</dcterms:modified>
</cp:coreProperties>
</file>