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E1FE5" w14:textId="0EF2DB64" w:rsidR="00417EDA" w:rsidRPr="00417EDA" w:rsidRDefault="00417EDA" w:rsidP="00417EDA">
      <w:r w:rsidRPr="00417EDA">
        <w:rPr>
          <w:b/>
          <w:bCs/>
        </w:rPr>
        <w:t>Multi-Location</w:t>
      </w:r>
      <w:r w:rsidR="007E51CD">
        <w:rPr>
          <w:b/>
          <w:bCs/>
        </w:rPr>
        <w:t>/Year</w:t>
      </w:r>
      <w:r w:rsidRPr="00417EDA">
        <w:rPr>
          <w:b/>
          <w:bCs/>
        </w:rPr>
        <w:t xml:space="preserve"> Evaluation of Fungicide Program Performance in </w:t>
      </w:r>
      <w:r w:rsidR="00462A8E">
        <w:rPr>
          <w:b/>
          <w:bCs/>
        </w:rPr>
        <w:t xml:space="preserve">Florida </w:t>
      </w:r>
      <w:r w:rsidRPr="00417EDA">
        <w:rPr>
          <w:b/>
          <w:bCs/>
        </w:rPr>
        <w:t>Peanut Production Systems</w:t>
      </w:r>
    </w:p>
    <w:p w14:paraId="5725A139" w14:textId="652B843F" w:rsidR="00CB76FC" w:rsidRDefault="00CB76FC" w:rsidP="001518D8">
      <w:r w:rsidRPr="00CB76FC">
        <w:rPr>
          <w:b/>
          <w:bCs/>
        </w:rPr>
        <w:t>Korus, K.A.</w:t>
      </w:r>
      <w:r>
        <w:t xml:space="preserve"> University of Florida, Institute of Food and Agricultural Sciences, Alachua County Extension Agent, Newberry, Florida.</w:t>
      </w:r>
    </w:p>
    <w:p w14:paraId="2C57CD11" w14:textId="0E5B71DB" w:rsidR="00CB76FC" w:rsidRDefault="00CB76FC" w:rsidP="001518D8">
      <w:r w:rsidRPr="00CB76FC">
        <w:rPr>
          <w:b/>
          <w:bCs/>
        </w:rPr>
        <w:t>Balaguer, R.</w:t>
      </w:r>
      <w:r>
        <w:t xml:space="preserve"> </w:t>
      </w:r>
      <w:r>
        <w:t xml:space="preserve">University of Florida, Institute of Food and Agricultural Sciences, </w:t>
      </w:r>
      <w:r>
        <w:t xml:space="preserve">Suwannee </w:t>
      </w:r>
      <w:r>
        <w:t xml:space="preserve"> County Extension Agent</w:t>
      </w:r>
      <w:r>
        <w:t>, Live Oak, Florida.</w:t>
      </w:r>
    </w:p>
    <w:p w14:paraId="4EF5BF0F" w14:textId="6F5A6D7B" w:rsidR="00CB76FC" w:rsidRDefault="00CB76FC" w:rsidP="001518D8">
      <w:r>
        <w:t>Dufault, N.S. University of Florida, Department of Plant Pathology. Gainesville, Florida.</w:t>
      </w:r>
    </w:p>
    <w:p w14:paraId="182F9278" w14:textId="32A74C44" w:rsidR="009847AC" w:rsidRDefault="001518D8" w:rsidP="001518D8">
      <w:r w:rsidRPr="001518D8">
        <w:t xml:space="preserve">Multi-year, multi-location peanut </w:t>
      </w:r>
      <w:r w:rsidR="00603BBB">
        <w:t xml:space="preserve">small plot, </w:t>
      </w:r>
      <w:r w:rsidRPr="001518D8">
        <w:t>fungicide trials were conducted from 2022 to 2025 at PSREU</w:t>
      </w:r>
      <w:r w:rsidR="00603BBB">
        <w:t>-Citra</w:t>
      </w:r>
      <w:r w:rsidRPr="001518D8">
        <w:t xml:space="preserve">, NFREC-Suwannee Valley, and NFREC-Marianna to evaluate fungicide program performance and disease assessment metrics. Across nine site-years, 9 to 12 programs were tested per </w:t>
      </w:r>
      <w:r w:rsidR="00603BBB" w:rsidRPr="001518D8">
        <w:t>trial,</w:t>
      </w:r>
      <w:r w:rsidRPr="001518D8">
        <w:t xml:space="preserve"> and 4,936 observations were collected by Extension agents, students, and researchers. Final </w:t>
      </w:r>
      <w:r w:rsidR="00490869">
        <w:t xml:space="preserve">foliar </w:t>
      </w:r>
      <w:r w:rsidRPr="001518D8">
        <w:t>disease was assessed using the Florida 1–10 scale (FL10), percent severity, and defoliation</w:t>
      </w:r>
      <w:r w:rsidR="00490869">
        <w:t xml:space="preserve"> using multiple raters at each location</w:t>
      </w:r>
      <w:r w:rsidRPr="001518D8">
        <w:t>.</w:t>
      </w:r>
      <w:r w:rsidR="00180ACD">
        <w:t xml:space="preserve"> </w:t>
      </w:r>
      <w:r w:rsidRPr="001518D8">
        <w:t>Disease pre</w:t>
      </w:r>
      <w:r w:rsidR="00490869">
        <w:t>sence</w:t>
      </w:r>
      <w:r w:rsidRPr="001518D8">
        <w:t xml:space="preserve"> differed by location. NFREC-Suwannee Valley had the highest final disease (mean FL10 5.16, severity 35.1%, defoliation 41.7%), followed by PSREU (4.50, 25.4%, 37.6%) and NFREC-Marianna (3.89, 20.0%, 26.7%). Severity and defoliation closely tracked FL10 (r = 0.967 and 0.939, respectively), supporting use of FL10 as a rapid field metric and allowing empirical conversion among </w:t>
      </w:r>
      <w:r w:rsidR="00EF1199">
        <w:t xml:space="preserve">these </w:t>
      </w:r>
      <w:r w:rsidRPr="001518D8">
        <w:t>disease outputs when ratings were missing. Simple ANOVA detected treatment effects for FL10 in four of six analyzable non-PSREU site-years, and PSREU severity and defoliation effects were significant in every year. Yield treatment effects occurred in five of nine site-years.</w:t>
      </w:r>
      <w:r w:rsidR="00180ACD">
        <w:t xml:space="preserve"> </w:t>
      </w:r>
      <w:r w:rsidRPr="001518D8">
        <w:t xml:space="preserve">Random-effects meta-analysis using </w:t>
      </w:r>
      <w:r w:rsidR="000C611B">
        <w:t>product/company</w:t>
      </w:r>
      <w:r w:rsidR="008579F0">
        <w:t xml:space="preserve"> defined</w:t>
      </w:r>
      <w:r w:rsidRPr="001518D8">
        <w:t xml:space="preserve"> program groupings showed consistently positive yield </w:t>
      </w:r>
      <w:r w:rsidR="00C859B9">
        <w:t xml:space="preserve">(~500 to 2000 </w:t>
      </w:r>
      <w:proofErr w:type="spellStart"/>
      <w:r w:rsidR="00C859B9">
        <w:t>lb</w:t>
      </w:r>
      <w:proofErr w:type="spellEnd"/>
      <w:r w:rsidR="00C859B9">
        <w:t xml:space="preserve">/a) </w:t>
      </w:r>
      <w:r w:rsidRPr="001518D8">
        <w:t>and FL10</w:t>
      </w:r>
      <w:r w:rsidR="00C859B9">
        <w:t xml:space="preserve"> (~</w:t>
      </w:r>
      <w:r w:rsidR="007527FF">
        <w:t>1 to 2 scale point reductions)</w:t>
      </w:r>
      <w:r w:rsidRPr="001518D8">
        <w:t xml:space="preserve"> responses versus untreated, with repeated categories such as </w:t>
      </w:r>
      <w:proofErr w:type="spellStart"/>
      <w:r w:rsidRPr="001518D8">
        <w:t>Provysol</w:t>
      </w:r>
      <w:proofErr w:type="spellEnd"/>
      <w:r w:rsidRPr="001518D8">
        <w:t xml:space="preserve">, Provost, Elatus, </w:t>
      </w:r>
      <w:proofErr w:type="spellStart"/>
      <w:r w:rsidRPr="001518D8">
        <w:t>Lucento</w:t>
      </w:r>
      <w:proofErr w:type="spellEnd"/>
      <w:r w:rsidRPr="001518D8">
        <w:t xml:space="preserve">, and </w:t>
      </w:r>
      <w:proofErr w:type="spellStart"/>
      <w:r w:rsidRPr="001518D8">
        <w:t>Chloro</w:t>
      </w:r>
      <w:proofErr w:type="spellEnd"/>
      <w:r w:rsidRPr="001518D8">
        <w:t xml:space="preserve"> among the strongest overall performers. These results demonstrate that disease environment strongly influences treatment separation</w:t>
      </w:r>
      <w:r w:rsidR="00ED210D">
        <w:t>. Despite the variation seen in all the treatments, all fungicide programs utilized produced valuable yield savings compared to untreated controls</w:t>
      </w:r>
      <w:r w:rsidR="00034401">
        <w:t xml:space="preserve">. </w:t>
      </w:r>
      <w:r w:rsidR="00F11B7E" w:rsidRPr="00F11B7E">
        <w:t xml:space="preserve">The impacts of southern stem rot and rust on these outcomes were not apparent, and further exploration of their temporal occurrence, spatial distribution within trials, and interaction with foliar disease development is warranted to better understand their </w:t>
      </w:r>
      <w:r w:rsidR="00F11B7E">
        <w:t>impacts on these trials</w:t>
      </w:r>
      <w:r w:rsidR="00F11B7E" w:rsidRPr="00F11B7E">
        <w:t>.</w:t>
      </w:r>
    </w:p>
    <w:p w14:paraId="73A0C6C3" w14:textId="77777777" w:rsidR="00180ACD" w:rsidRDefault="00180ACD"/>
    <w:sectPr w:rsidR="00180A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EDA"/>
    <w:rsid w:val="00034401"/>
    <w:rsid w:val="000C611B"/>
    <w:rsid w:val="000D7DD4"/>
    <w:rsid w:val="001518D8"/>
    <w:rsid w:val="00180ACD"/>
    <w:rsid w:val="0030638B"/>
    <w:rsid w:val="003C5247"/>
    <w:rsid w:val="00417EDA"/>
    <w:rsid w:val="00462A8E"/>
    <w:rsid w:val="00490869"/>
    <w:rsid w:val="00603BBB"/>
    <w:rsid w:val="00643B63"/>
    <w:rsid w:val="007527FF"/>
    <w:rsid w:val="007E51CD"/>
    <w:rsid w:val="008579F0"/>
    <w:rsid w:val="008867A5"/>
    <w:rsid w:val="008C15FB"/>
    <w:rsid w:val="009847AC"/>
    <w:rsid w:val="00B16313"/>
    <w:rsid w:val="00B26646"/>
    <w:rsid w:val="00C3674D"/>
    <w:rsid w:val="00C859B9"/>
    <w:rsid w:val="00CB76FC"/>
    <w:rsid w:val="00D66181"/>
    <w:rsid w:val="00DF0BB2"/>
    <w:rsid w:val="00EA5886"/>
    <w:rsid w:val="00ED210D"/>
    <w:rsid w:val="00EF1199"/>
    <w:rsid w:val="00F11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03F9"/>
  <w15:chartTrackingRefBased/>
  <w15:docId w15:val="{FE35EAA3-7176-4EB8-BD0A-4C08DDEF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E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7E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E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E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E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E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7E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E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E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E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EDA"/>
    <w:rPr>
      <w:rFonts w:eastAsiaTheme="majorEastAsia" w:cstheme="majorBidi"/>
      <w:color w:val="272727" w:themeColor="text1" w:themeTint="D8"/>
    </w:rPr>
  </w:style>
  <w:style w:type="paragraph" w:styleId="Title">
    <w:name w:val="Title"/>
    <w:basedOn w:val="Normal"/>
    <w:next w:val="Normal"/>
    <w:link w:val="TitleChar"/>
    <w:uiPriority w:val="10"/>
    <w:qFormat/>
    <w:rsid w:val="00417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EDA"/>
    <w:pPr>
      <w:spacing w:before="160"/>
      <w:jc w:val="center"/>
    </w:pPr>
    <w:rPr>
      <w:i/>
      <w:iCs/>
      <w:color w:val="404040" w:themeColor="text1" w:themeTint="BF"/>
    </w:rPr>
  </w:style>
  <w:style w:type="character" w:customStyle="1" w:styleId="QuoteChar">
    <w:name w:val="Quote Char"/>
    <w:basedOn w:val="DefaultParagraphFont"/>
    <w:link w:val="Quote"/>
    <w:uiPriority w:val="29"/>
    <w:rsid w:val="00417EDA"/>
    <w:rPr>
      <w:i/>
      <w:iCs/>
      <w:color w:val="404040" w:themeColor="text1" w:themeTint="BF"/>
    </w:rPr>
  </w:style>
  <w:style w:type="paragraph" w:styleId="ListParagraph">
    <w:name w:val="List Paragraph"/>
    <w:basedOn w:val="Normal"/>
    <w:uiPriority w:val="34"/>
    <w:qFormat/>
    <w:rsid w:val="00417EDA"/>
    <w:pPr>
      <w:ind w:left="720"/>
      <w:contextualSpacing/>
    </w:pPr>
  </w:style>
  <w:style w:type="character" w:styleId="IntenseEmphasis">
    <w:name w:val="Intense Emphasis"/>
    <w:basedOn w:val="DefaultParagraphFont"/>
    <w:uiPriority w:val="21"/>
    <w:qFormat/>
    <w:rsid w:val="00417EDA"/>
    <w:rPr>
      <w:i/>
      <w:iCs/>
      <w:color w:val="0F4761" w:themeColor="accent1" w:themeShade="BF"/>
    </w:rPr>
  </w:style>
  <w:style w:type="paragraph" w:styleId="IntenseQuote">
    <w:name w:val="Intense Quote"/>
    <w:basedOn w:val="Normal"/>
    <w:next w:val="Normal"/>
    <w:link w:val="IntenseQuoteChar"/>
    <w:uiPriority w:val="30"/>
    <w:qFormat/>
    <w:rsid w:val="00417E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EDA"/>
    <w:rPr>
      <w:i/>
      <w:iCs/>
      <w:color w:val="0F4761" w:themeColor="accent1" w:themeShade="BF"/>
    </w:rPr>
  </w:style>
  <w:style w:type="character" w:styleId="IntenseReference">
    <w:name w:val="Intense Reference"/>
    <w:basedOn w:val="DefaultParagraphFont"/>
    <w:uiPriority w:val="32"/>
    <w:qFormat/>
    <w:rsid w:val="00417EDA"/>
    <w:rPr>
      <w:b/>
      <w:bCs/>
      <w:smallCaps/>
      <w:color w:val="0F4761" w:themeColor="accent1" w:themeShade="BF"/>
      <w:spacing w:val="5"/>
    </w:rPr>
  </w:style>
  <w:style w:type="paragraph" w:styleId="NormalWeb">
    <w:name w:val="Normal (Web)"/>
    <w:basedOn w:val="Normal"/>
    <w:uiPriority w:val="99"/>
    <w:semiHidden/>
    <w:unhideWhenUsed/>
    <w:rsid w:val="001518D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Korus,Kevin Andrew</cp:lastModifiedBy>
  <cp:revision>24</cp:revision>
  <dcterms:created xsi:type="dcterms:W3CDTF">2026-03-24T17:17:00Z</dcterms:created>
  <dcterms:modified xsi:type="dcterms:W3CDTF">2026-03-26T12:46:00Z</dcterms:modified>
</cp:coreProperties>
</file>