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7631D" w14:textId="77777777" w:rsidR="009B7435" w:rsidRPr="00D16362" w:rsidRDefault="00000000" w:rsidP="0023018E">
      <w:pPr>
        <w:rPr>
          <w:rFonts w:asciiTheme="minorHAnsi" w:hAnsiTheme="minorHAnsi"/>
        </w:rPr>
      </w:pPr>
      <w:r w:rsidRPr="00D16362">
        <w:rPr>
          <w:rFonts w:asciiTheme="minorHAnsi" w:hAnsiTheme="minorHAnsi"/>
          <w:b/>
          <w:bCs/>
        </w:rPr>
        <w:t>Temporal Infection Profiling Pertaining to Fungicide Sensitivities for Use in Late Leaf Spot Management Programs</w:t>
      </w:r>
    </w:p>
    <w:p w14:paraId="6FE4842D" w14:textId="77777777" w:rsidR="00467332" w:rsidRPr="00D16362" w:rsidRDefault="00467332" w:rsidP="0058421B">
      <w:pPr>
        <w:spacing w:before="240"/>
        <w:rPr>
          <w:rFonts w:asciiTheme="minorHAnsi" w:eastAsia="Times New Roman" w:hAnsiTheme="minorHAnsi" w:cs="Times New Roman"/>
          <w:color w:val="000000"/>
        </w:rPr>
      </w:pPr>
      <w:r w:rsidRPr="00D16362">
        <w:rPr>
          <w:rFonts w:asciiTheme="minorHAnsi" w:eastAsia="Times New Roman" w:hAnsiTheme="minorHAnsi" w:cs="Times New Roman"/>
          <w:b/>
          <w:bCs/>
          <w:color w:val="000000"/>
        </w:rPr>
        <w:t>DAHAL, S.</w:t>
      </w:r>
      <w:r w:rsidRPr="00D16362">
        <w:rPr>
          <w:rFonts w:asciiTheme="minorHAnsi" w:eastAsia="Times New Roman" w:hAnsiTheme="minorHAnsi" w:cs="Times New Roman"/>
          <w:color w:val="000000"/>
          <w:vertAlign w:val="superscript"/>
        </w:rPr>
        <w:t>1,2</w:t>
      </w:r>
      <w:r w:rsidRPr="00D16362">
        <w:rPr>
          <w:rFonts w:asciiTheme="minorHAnsi" w:eastAsia="Times New Roman" w:hAnsiTheme="minorHAnsi" w:cs="Times New Roman"/>
          <w:color w:val="000000"/>
        </w:rPr>
        <w:t>, Thiessen, L.</w:t>
      </w:r>
      <w:r w:rsidRPr="00D16362">
        <w:rPr>
          <w:rFonts w:asciiTheme="minorHAnsi" w:eastAsia="Times New Roman" w:hAnsiTheme="minorHAnsi" w:cs="Times New Roman"/>
          <w:color w:val="000000"/>
          <w:vertAlign w:val="superscript"/>
        </w:rPr>
        <w:t>2</w:t>
      </w:r>
      <w:r w:rsidRPr="00D16362">
        <w:rPr>
          <w:rFonts w:asciiTheme="minorHAnsi" w:eastAsia="Times New Roman" w:hAnsiTheme="minorHAnsi" w:cs="Times New Roman"/>
          <w:color w:val="000000"/>
        </w:rPr>
        <w:t>, Anco, D.J.</w:t>
      </w:r>
      <w:r w:rsidRPr="00D16362">
        <w:rPr>
          <w:rFonts w:asciiTheme="minorHAnsi" w:eastAsia="Times New Roman" w:hAnsiTheme="minorHAnsi" w:cs="Times New Roman"/>
          <w:color w:val="000000"/>
          <w:vertAlign w:val="superscript"/>
        </w:rPr>
        <w:t>1,2</w:t>
      </w:r>
    </w:p>
    <w:p w14:paraId="7C25D075" w14:textId="58B04D42" w:rsidR="00434BF3" w:rsidRPr="00D16362" w:rsidRDefault="00467332" w:rsidP="0023018E">
      <w:pPr>
        <w:spacing w:after="480"/>
        <w:rPr>
          <w:rFonts w:asciiTheme="minorHAnsi" w:eastAsia="Times New Roman" w:hAnsiTheme="minorHAnsi" w:cs="Times New Roman"/>
          <w:color w:val="000000"/>
        </w:rPr>
      </w:pPr>
      <w:r w:rsidRPr="00D16362">
        <w:rPr>
          <w:rFonts w:asciiTheme="minorHAnsi" w:eastAsia="Times New Roman" w:hAnsiTheme="minorHAnsi" w:cs="Times New Roman"/>
          <w:color w:val="000000"/>
          <w:vertAlign w:val="superscript"/>
        </w:rPr>
        <w:t>1</w:t>
      </w:r>
      <w:r w:rsidRPr="00D16362">
        <w:rPr>
          <w:rFonts w:asciiTheme="minorHAnsi" w:eastAsia="Times New Roman" w:hAnsiTheme="minorHAnsi" w:cs="Times New Roman"/>
          <w:color w:val="000000"/>
        </w:rPr>
        <w:t>Edisto Research and Education Center, Department of Plant and Environmental Sciences, Clemson University, Blackville, SC. </w:t>
      </w:r>
      <w:r w:rsidR="0023018E" w:rsidRPr="00D16362">
        <w:rPr>
          <w:rFonts w:asciiTheme="minorHAnsi" w:eastAsia="Times New Roman" w:hAnsiTheme="minorHAnsi" w:cs="Times New Roman"/>
          <w:color w:val="000000"/>
        </w:rPr>
        <w:br/>
      </w:r>
      <w:r w:rsidRPr="00D16362">
        <w:rPr>
          <w:rFonts w:asciiTheme="minorHAnsi" w:eastAsia="Times New Roman" w:hAnsiTheme="minorHAnsi" w:cs="Times New Roman"/>
          <w:color w:val="000000"/>
          <w:vertAlign w:val="superscript"/>
        </w:rPr>
        <w:t>2</w:t>
      </w:r>
      <w:r w:rsidRPr="00D16362">
        <w:rPr>
          <w:rFonts w:asciiTheme="minorHAnsi" w:eastAsia="Times New Roman" w:hAnsiTheme="minorHAnsi" w:cs="Times New Roman"/>
          <w:color w:val="000000"/>
        </w:rPr>
        <w:t>Department of Plant and Environmental Sciences, Clemson University, Clemson, SC.</w:t>
      </w:r>
    </w:p>
    <w:p w14:paraId="02ECD235" w14:textId="34BE1B30" w:rsidR="00801AB5" w:rsidRPr="00D16362" w:rsidRDefault="00801AB5" w:rsidP="0023018E">
      <w:pPr>
        <w:spacing w:after="480"/>
        <w:rPr>
          <w:rFonts w:asciiTheme="minorHAnsi" w:eastAsia="Times New Roman" w:hAnsiTheme="minorHAnsi" w:cs="Times New Roman"/>
          <w:color w:val="000000"/>
        </w:rPr>
      </w:pPr>
      <w:r w:rsidRPr="00D16362">
        <w:rPr>
          <w:rFonts w:asciiTheme="minorHAnsi" w:hAnsiTheme="minorHAnsi"/>
        </w:rPr>
        <w:t xml:space="preserve">Late leaf spot (LLS), caused by </w:t>
      </w:r>
      <w:proofErr w:type="spellStart"/>
      <w:r w:rsidRPr="00D16362">
        <w:rPr>
          <w:rFonts w:asciiTheme="minorHAnsi" w:hAnsiTheme="minorHAnsi"/>
          <w:i/>
          <w:iCs/>
        </w:rPr>
        <w:t>Nothopassalora</w:t>
      </w:r>
      <w:proofErr w:type="spellEnd"/>
      <w:r w:rsidRPr="00D16362">
        <w:rPr>
          <w:rFonts w:asciiTheme="minorHAnsi" w:hAnsiTheme="minorHAnsi"/>
          <w:i/>
          <w:iCs/>
        </w:rPr>
        <w:t xml:space="preserve"> personata</w:t>
      </w:r>
      <w:r w:rsidRPr="00D16362">
        <w:rPr>
          <w:rFonts w:asciiTheme="minorHAnsi" w:hAnsiTheme="minorHAnsi"/>
        </w:rPr>
        <w:t xml:space="preserve">, is a major disease affecting peanut in the southeastern and Virginia-Carolina regions of the United States, causing yield losses up to 70%. Current recommendations for integrated management of LLS include five to seven fungicide applications each season. Recent research has reported </w:t>
      </w:r>
      <w:r w:rsidRPr="00D16362">
        <w:rPr>
          <w:rFonts w:asciiTheme="minorHAnsi" w:hAnsiTheme="minorHAnsi"/>
          <w:i/>
          <w:iCs/>
        </w:rPr>
        <w:t>N. personata</w:t>
      </w:r>
      <w:r w:rsidRPr="00D16362">
        <w:rPr>
          <w:rFonts w:asciiTheme="minorHAnsi" w:hAnsiTheme="minorHAnsi"/>
        </w:rPr>
        <w:t xml:space="preserve"> populations with varying levels of insensitivity against specific fungicide active ingredients to be present in commercial peanut fields in South Carolina and nearby regions. However, it is unclear whether pathogen sensitivity to these </w:t>
      </w:r>
      <w:proofErr w:type="gramStart"/>
      <w:r w:rsidRPr="00D16362">
        <w:rPr>
          <w:rFonts w:asciiTheme="minorHAnsi" w:hAnsiTheme="minorHAnsi"/>
        </w:rPr>
        <w:t>fungicides</w:t>
      </w:r>
      <w:proofErr w:type="gramEnd"/>
      <w:r w:rsidRPr="00D16362">
        <w:rPr>
          <w:rFonts w:asciiTheme="minorHAnsi" w:hAnsiTheme="minorHAnsi"/>
        </w:rPr>
        <w:t xml:space="preserve"> changes during the growing season (i.e., through mechanisms such as varying initiation of spore production). Understanding this is important for potentially improving the robustness of fungicide programs and maintaining the sustainability of production. This study aims to evaluate how exhibited fungicide sensitivities vary in field populations over time. To investigate this, naturally infected leaves were collected weekly from four fields at the Edisto Research and Education Center in Blackville, SC, from which multi-isolate spore suspensions were used in detached leaf assays to evaluate lesion incidence in response to fungicide treatments. Active ingredients tested included tebuconazole, tebuconazole plus </w:t>
      </w:r>
      <w:proofErr w:type="spellStart"/>
      <w:r w:rsidRPr="00D16362">
        <w:rPr>
          <w:rFonts w:asciiTheme="minorHAnsi" w:hAnsiTheme="minorHAnsi"/>
        </w:rPr>
        <w:t>prothioconazole</w:t>
      </w:r>
      <w:proofErr w:type="spellEnd"/>
      <w:r w:rsidRPr="00D16362">
        <w:rPr>
          <w:rFonts w:asciiTheme="minorHAnsi" w:hAnsiTheme="minorHAnsi"/>
        </w:rPr>
        <w:t xml:space="preserve">, azoxystrobin, </w:t>
      </w:r>
      <w:proofErr w:type="spellStart"/>
      <w:r w:rsidRPr="00D16362">
        <w:rPr>
          <w:rFonts w:asciiTheme="minorHAnsi" w:hAnsiTheme="minorHAnsi"/>
        </w:rPr>
        <w:t>benzovindiflupyr</w:t>
      </w:r>
      <w:proofErr w:type="spellEnd"/>
      <w:r w:rsidRPr="00D16362">
        <w:rPr>
          <w:rFonts w:asciiTheme="minorHAnsi" w:hAnsiTheme="minorHAnsi"/>
        </w:rPr>
        <w:t xml:space="preserve"> plus azoxystrobin, </w:t>
      </w:r>
      <w:proofErr w:type="spellStart"/>
      <w:r w:rsidRPr="00D16362">
        <w:rPr>
          <w:rFonts w:asciiTheme="minorHAnsi" w:hAnsiTheme="minorHAnsi"/>
        </w:rPr>
        <w:t>pydiflumetofen</w:t>
      </w:r>
      <w:proofErr w:type="spellEnd"/>
      <w:r w:rsidRPr="00D16362">
        <w:rPr>
          <w:rFonts w:asciiTheme="minorHAnsi" w:hAnsiTheme="minorHAnsi"/>
        </w:rPr>
        <w:t>, and bixafen plus flutriafol (i.e., estimated baseline incidences of approximately 25 to 62%), with non-treated and chlorothalonil checks for comparison. By linking infection patterns to fungicide sensitivity, results are anticipated to support recommendations that help farmers select fungicides and application strategies that optimize disease control, protect yield, and improve fungicide stewardship.</w:t>
      </w:r>
    </w:p>
    <w:p w14:paraId="442BFD19" w14:textId="1338BE65" w:rsidR="009B7435" w:rsidRPr="00D16362" w:rsidRDefault="009B7435" w:rsidP="0023018E">
      <w:pPr>
        <w:rPr>
          <w:rFonts w:asciiTheme="minorHAnsi" w:hAnsiTheme="minorHAnsi"/>
        </w:rPr>
      </w:pPr>
    </w:p>
    <w:sectPr w:rsidR="009B7435" w:rsidRPr="00D16362" w:rsidSect="00434BF3">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1"/>
    <w:family w:val="swiss"/>
    <w:pitch w:val="variable"/>
    <w:sig w:usb0="20000287" w:usb1="00000003" w:usb2="00000000" w:usb3="00000000" w:csb0="0000019F" w:csb1="00000000"/>
  </w:font>
  <w:font w:name="Times New Roman">
    <w:panose1 w:val="02020603050405020304"/>
    <w:charset w:val="01"/>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2778A6"/>
    <w:multiLevelType w:val="hybridMultilevel"/>
    <w:tmpl w:val="ADF2CF08"/>
    <w:lvl w:ilvl="0" w:tplc="DCC87746">
      <w:start w:val="1"/>
      <w:numFmt w:val="bullet"/>
      <w:lvlText w:val="●"/>
      <w:lvlJc w:val="left"/>
      <w:pPr>
        <w:ind w:left="720" w:hanging="360"/>
      </w:pPr>
    </w:lvl>
    <w:lvl w:ilvl="1" w:tplc="5C302C84">
      <w:start w:val="1"/>
      <w:numFmt w:val="bullet"/>
      <w:lvlText w:val="○"/>
      <w:lvlJc w:val="left"/>
      <w:pPr>
        <w:ind w:left="1440" w:hanging="360"/>
      </w:pPr>
    </w:lvl>
    <w:lvl w:ilvl="2" w:tplc="1062BF48">
      <w:start w:val="1"/>
      <w:numFmt w:val="bullet"/>
      <w:lvlText w:val="■"/>
      <w:lvlJc w:val="left"/>
      <w:pPr>
        <w:ind w:left="2160" w:hanging="360"/>
      </w:pPr>
    </w:lvl>
    <w:lvl w:ilvl="3" w:tplc="B02E52B4">
      <w:start w:val="1"/>
      <w:numFmt w:val="bullet"/>
      <w:lvlText w:val="●"/>
      <w:lvlJc w:val="left"/>
      <w:pPr>
        <w:ind w:left="2880" w:hanging="360"/>
      </w:pPr>
    </w:lvl>
    <w:lvl w:ilvl="4" w:tplc="4D8C75C2">
      <w:start w:val="1"/>
      <w:numFmt w:val="bullet"/>
      <w:lvlText w:val="○"/>
      <w:lvlJc w:val="left"/>
      <w:pPr>
        <w:ind w:left="3600" w:hanging="360"/>
      </w:pPr>
    </w:lvl>
    <w:lvl w:ilvl="5" w:tplc="10785136">
      <w:start w:val="1"/>
      <w:numFmt w:val="bullet"/>
      <w:lvlText w:val="■"/>
      <w:lvlJc w:val="left"/>
      <w:pPr>
        <w:ind w:left="4320" w:hanging="360"/>
      </w:pPr>
    </w:lvl>
    <w:lvl w:ilvl="6" w:tplc="FF306BC0">
      <w:start w:val="1"/>
      <w:numFmt w:val="bullet"/>
      <w:lvlText w:val="●"/>
      <w:lvlJc w:val="left"/>
      <w:pPr>
        <w:ind w:left="5040" w:hanging="360"/>
      </w:pPr>
    </w:lvl>
    <w:lvl w:ilvl="7" w:tplc="3ED02F02">
      <w:start w:val="1"/>
      <w:numFmt w:val="bullet"/>
      <w:lvlText w:val="●"/>
      <w:lvlJc w:val="left"/>
      <w:pPr>
        <w:ind w:left="5760" w:hanging="360"/>
      </w:pPr>
    </w:lvl>
    <w:lvl w:ilvl="8" w:tplc="DAB4A678">
      <w:start w:val="1"/>
      <w:numFmt w:val="bullet"/>
      <w:lvlText w:val="●"/>
      <w:lvlJc w:val="left"/>
      <w:pPr>
        <w:ind w:left="6480" w:hanging="360"/>
      </w:pPr>
    </w:lvl>
  </w:abstractNum>
  <w:num w:numId="1" w16cid:durableId="42280242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435"/>
    <w:rsid w:val="00031278"/>
    <w:rsid w:val="000804A1"/>
    <w:rsid w:val="00102A8A"/>
    <w:rsid w:val="00160FEA"/>
    <w:rsid w:val="00164567"/>
    <w:rsid w:val="00170E7F"/>
    <w:rsid w:val="001E0FCE"/>
    <w:rsid w:val="00225AF6"/>
    <w:rsid w:val="0023018E"/>
    <w:rsid w:val="003A0E75"/>
    <w:rsid w:val="00434BF3"/>
    <w:rsid w:val="00450508"/>
    <w:rsid w:val="00467332"/>
    <w:rsid w:val="0058421B"/>
    <w:rsid w:val="005C705D"/>
    <w:rsid w:val="0063679B"/>
    <w:rsid w:val="00663765"/>
    <w:rsid w:val="00684A0A"/>
    <w:rsid w:val="006E2579"/>
    <w:rsid w:val="00801AB5"/>
    <w:rsid w:val="00810AD2"/>
    <w:rsid w:val="00885B38"/>
    <w:rsid w:val="009136DA"/>
    <w:rsid w:val="009B7435"/>
    <w:rsid w:val="00A25D86"/>
    <w:rsid w:val="00A36E9E"/>
    <w:rsid w:val="00AD1552"/>
    <w:rsid w:val="00B72C18"/>
    <w:rsid w:val="00BD3EE3"/>
    <w:rsid w:val="00C62136"/>
    <w:rsid w:val="00C6391C"/>
    <w:rsid w:val="00CB3C8D"/>
    <w:rsid w:val="00D16362"/>
    <w:rsid w:val="00D35ED9"/>
    <w:rsid w:val="00EA3AFC"/>
    <w:rsid w:val="00ED4CE0"/>
    <w:rsid w:val="00EF08FC"/>
    <w:rsid w:val="00FA3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62875"/>
  <w15:docId w15:val="{1C5CC4B4-EE34-47DF-843C-C8D0ED286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s3">
    <w:name w:val="s3"/>
    <w:basedOn w:val="Normal"/>
    <w:rsid w:val="00C6391C"/>
    <w:pPr>
      <w:spacing w:before="100" w:beforeAutospacing="1" w:after="100" w:afterAutospacing="1"/>
    </w:pPr>
    <w:rPr>
      <w:rFonts w:ascii="Times New Roman" w:eastAsia="Times New Roman" w:hAnsi="Times New Roman" w:cs="Times New Roman"/>
    </w:rPr>
  </w:style>
  <w:style w:type="character" w:customStyle="1" w:styleId="s2">
    <w:name w:val="s2"/>
    <w:basedOn w:val="DefaultParagraphFont"/>
    <w:rsid w:val="00467332"/>
  </w:style>
  <w:style w:type="character" w:customStyle="1" w:styleId="s4">
    <w:name w:val="s4"/>
    <w:basedOn w:val="DefaultParagraphFont"/>
    <w:rsid w:val="00467332"/>
  </w:style>
  <w:style w:type="character" w:customStyle="1" w:styleId="s5">
    <w:name w:val="s5"/>
    <w:basedOn w:val="DefaultParagraphFont"/>
    <w:rsid w:val="00467332"/>
  </w:style>
  <w:style w:type="character" w:customStyle="1" w:styleId="apple-converted-space">
    <w:name w:val="apple-converted-space"/>
    <w:basedOn w:val="DefaultParagraphFont"/>
    <w:rsid w:val="00467332"/>
  </w:style>
  <w:style w:type="character" w:customStyle="1" w:styleId="s6">
    <w:name w:val="s6"/>
    <w:basedOn w:val="DefaultParagraphFont"/>
    <w:rsid w:val="00467332"/>
  </w:style>
  <w:style w:type="paragraph" w:customStyle="1" w:styleId="s7">
    <w:name w:val="s7"/>
    <w:basedOn w:val="Normal"/>
    <w:rsid w:val="0046733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285</Words>
  <Characters>1883</Characters>
  <Application>Microsoft Office Word</Application>
  <DocSecurity>0</DocSecurity>
  <Lines>27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Shimran Dahal</dc:creator>
  <cp:lastModifiedBy>Shimran Dahal</cp:lastModifiedBy>
  <cp:revision>32</cp:revision>
  <dcterms:created xsi:type="dcterms:W3CDTF">2026-03-25T16:38:00Z</dcterms:created>
  <dcterms:modified xsi:type="dcterms:W3CDTF">2026-03-29T14:44:00Z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a6456da2-7460-42ac-983f-a559dd834012</vt:lpwstr>
  </property>
</Properties>
</file>