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E11C7C" w14:textId="1B6CCB46" w:rsidR="00196E3A" w:rsidRPr="00196E3A" w:rsidRDefault="0068709C" w:rsidP="00B141A9">
      <w:pPr>
        <w:spacing w:line="240" w:lineRule="auto"/>
        <w:rPr>
          <w:b/>
          <w:bCs/>
        </w:rPr>
      </w:pPr>
      <w:r>
        <w:rPr>
          <w:b/>
          <w:bCs/>
        </w:rPr>
        <w:t xml:space="preserve">Evaluating </w:t>
      </w:r>
      <w:r w:rsidR="00F82EA0">
        <w:rPr>
          <w:b/>
          <w:bCs/>
        </w:rPr>
        <w:t xml:space="preserve">Photosystem II </w:t>
      </w:r>
      <w:r w:rsidR="00AB4FD5">
        <w:rPr>
          <w:b/>
          <w:bCs/>
        </w:rPr>
        <w:t>Efficiency</w:t>
      </w:r>
      <w:r w:rsidR="00F82EA0">
        <w:rPr>
          <w:b/>
          <w:bCs/>
        </w:rPr>
        <w:t xml:space="preserve"> as a</w:t>
      </w:r>
      <w:r>
        <w:rPr>
          <w:b/>
          <w:bCs/>
        </w:rPr>
        <w:t xml:space="preserve">n </w:t>
      </w:r>
      <w:r w:rsidR="00F82EA0">
        <w:rPr>
          <w:b/>
          <w:bCs/>
        </w:rPr>
        <w:t>Indicator of Resistance to Late Leaf Spot (</w:t>
      </w:r>
      <w:r w:rsidR="00F82EA0" w:rsidRPr="00F82EA0">
        <w:rPr>
          <w:b/>
          <w:bCs/>
          <w:i/>
          <w:iCs/>
        </w:rPr>
        <w:t>Nothopassalora personata</w:t>
      </w:r>
      <w:r w:rsidR="00F82EA0">
        <w:rPr>
          <w:b/>
          <w:bCs/>
        </w:rPr>
        <w:t>) in Peanut</w:t>
      </w:r>
    </w:p>
    <w:p w14:paraId="36A41EE5" w14:textId="3E29A749" w:rsidR="00196E3A" w:rsidRDefault="00196E3A" w:rsidP="00B141A9">
      <w:pPr>
        <w:spacing w:line="240" w:lineRule="auto"/>
      </w:pPr>
      <w:r w:rsidRPr="00196E3A">
        <w:rPr>
          <w:b/>
          <w:bCs/>
        </w:rPr>
        <w:t>BEEBOUT, C.O.</w:t>
      </w:r>
      <w:r w:rsidRPr="00196E3A">
        <w:rPr>
          <w:vertAlign w:val="superscript"/>
        </w:rPr>
        <w:t>1</w:t>
      </w:r>
      <w:r>
        <w:t>, Asiedu, E.</w:t>
      </w:r>
      <w:r w:rsidRPr="00196E3A">
        <w:rPr>
          <w:vertAlign w:val="superscript"/>
        </w:rPr>
        <w:t>2</w:t>
      </w:r>
      <w:r>
        <w:t>, Cantonwine E.G.</w:t>
      </w:r>
      <w:r w:rsidRPr="00196E3A">
        <w:rPr>
          <w:vertAlign w:val="superscript"/>
        </w:rPr>
        <w:t>1</w:t>
      </w:r>
      <w:r>
        <w:t xml:space="preserve">, </w:t>
      </w:r>
    </w:p>
    <w:p w14:paraId="60313E06" w14:textId="46D77656" w:rsidR="00AB4FD5" w:rsidRPr="00B0029C" w:rsidRDefault="00196E3A" w:rsidP="00B8015E">
      <w:pPr>
        <w:spacing w:line="240" w:lineRule="auto"/>
      </w:pPr>
      <w:r w:rsidRPr="00196E3A">
        <w:rPr>
          <w:vertAlign w:val="superscript"/>
        </w:rPr>
        <w:t>1</w:t>
      </w:r>
      <w:r>
        <w:t>Department of</w:t>
      </w:r>
      <w:r w:rsidR="00F82EA0">
        <w:t xml:space="preserve"> Biology</w:t>
      </w:r>
      <w:r>
        <w:t>, Valdosta State University</w:t>
      </w:r>
      <w:r w:rsidR="00F82EA0">
        <w:t>,</w:t>
      </w:r>
      <w:r w:rsidR="00B87317">
        <w:t xml:space="preserve"> Valdosta, GA.</w:t>
      </w:r>
      <w:r w:rsidR="00F82EA0">
        <w:t xml:space="preserve"> </w:t>
      </w:r>
      <w:r w:rsidR="00F82EA0" w:rsidRPr="00B0029C">
        <w:rPr>
          <w:vertAlign w:val="superscript"/>
        </w:rPr>
        <w:t>2</w:t>
      </w:r>
      <w:r w:rsidR="00C33710" w:rsidRPr="00B0029C">
        <w:t xml:space="preserve">Department of Biology, </w:t>
      </w:r>
      <w:r w:rsidR="00B0029C" w:rsidRPr="00B0029C">
        <w:t>Washington State University, Pullman, Washington.</w:t>
      </w:r>
    </w:p>
    <w:p w14:paraId="7CC73280" w14:textId="45D040B7" w:rsidR="006B030B" w:rsidRPr="0068709C" w:rsidRDefault="00AB4FD5" w:rsidP="0068709C">
      <w:pPr>
        <w:pStyle w:val="Defaul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>A previous study</w:t>
      </w:r>
      <w:r w:rsidR="00E47D62">
        <w:rPr>
          <w:rFonts w:ascii="Arial" w:hAnsi="Arial" w:cs="Arial"/>
          <w:color w:val="000000" w:themeColor="text1"/>
          <w:sz w:val="22"/>
          <w:szCs w:val="22"/>
        </w:rPr>
        <w:t xml:space="preserve"> evaluating photosynthetic efficiency responses following the induction of late leaf spot disease found that </w:t>
      </w:r>
      <w:r w:rsidRPr="00AB4FD5">
        <w:rPr>
          <w:rFonts w:ascii="Arial" w:hAnsi="Arial" w:cs="Arial"/>
          <w:color w:val="000000" w:themeColor="text1"/>
          <w:sz w:val="22"/>
          <w:szCs w:val="22"/>
        </w:rPr>
        <w:t>p</w:t>
      </w:r>
      <w:r w:rsidR="00E47D62">
        <w:rPr>
          <w:rFonts w:ascii="Arial" w:hAnsi="Arial" w:cs="Arial"/>
          <w:color w:val="000000" w:themeColor="text1"/>
          <w:sz w:val="22"/>
          <w:szCs w:val="22"/>
        </w:rPr>
        <w:t>hotosystem II</w:t>
      </w:r>
      <w:r w:rsidRPr="00AB4FD5">
        <w:rPr>
          <w:rFonts w:ascii="Arial" w:hAnsi="Arial" w:cs="Arial"/>
          <w:color w:val="000000" w:themeColor="text1"/>
          <w:sz w:val="22"/>
          <w:szCs w:val="22"/>
        </w:rPr>
        <w:t xml:space="preserve"> efficienc</w:t>
      </w:r>
      <w:r w:rsidR="00E47D62">
        <w:rPr>
          <w:rFonts w:ascii="Arial" w:hAnsi="Arial" w:cs="Arial"/>
          <w:color w:val="000000" w:themeColor="text1"/>
          <w:sz w:val="22"/>
          <w:szCs w:val="22"/>
        </w:rPr>
        <w:t>ies (Qymax) declined more quickly and to a greater degree in the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late leaf spot susceptible peanut cultivar Georgia</w:t>
      </w:r>
      <w:r w:rsidR="00E47D62">
        <w:rPr>
          <w:rFonts w:ascii="Arial" w:hAnsi="Arial" w:cs="Arial"/>
          <w:color w:val="000000" w:themeColor="text1"/>
          <w:sz w:val="22"/>
          <w:szCs w:val="22"/>
        </w:rPr>
        <w:t>-13M</w:t>
      </w:r>
      <w:r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47D62">
        <w:rPr>
          <w:rFonts w:ascii="Arial" w:hAnsi="Arial" w:cs="Arial"/>
          <w:color w:val="000000" w:themeColor="text1"/>
          <w:sz w:val="22"/>
          <w:szCs w:val="22"/>
        </w:rPr>
        <w:t>than</w:t>
      </w:r>
      <w:r w:rsidR="00E47D62" w:rsidRPr="00AB4FD5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47D62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E47D62" w:rsidRPr="00AB4FD5">
        <w:rPr>
          <w:rFonts w:ascii="Arial" w:hAnsi="Arial" w:cs="Arial"/>
          <w:color w:val="000000" w:themeColor="text1"/>
          <w:sz w:val="22"/>
          <w:szCs w:val="22"/>
        </w:rPr>
        <w:t xml:space="preserve">resistant </w:t>
      </w:r>
      <w:r w:rsidR="00E47D62">
        <w:rPr>
          <w:rFonts w:ascii="Arial" w:hAnsi="Arial" w:cs="Arial"/>
          <w:color w:val="000000" w:themeColor="text1"/>
          <w:sz w:val="22"/>
          <w:szCs w:val="22"/>
        </w:rPr>
        <w:t xml:space="preserve">cultivar TifCB-7. </w:t>
      </w:r>
      <w:r w:rsidR="00D629C2">
        <w:rPr>
          <w:rFonts w:ascii="Arial" w:hAnsi="Arial" w:cs="Arial"/>
          <w:color w:val="000000" w:themeColor="text1"/>
          <w:sz w:val="22"/>
          <w:szCs w:val="22"/>
        </w:rPr>
        <w:t>Notably, t</w:t>
      </w:r>
      <w:r w:rsidR="00E47D62">
        <w:rPr>
          <w:rFonts w:ascii="Arial" w:hAnsi="Arial" w:cs="Arial"/>
          <w:color w:val="000000" w:themeColor="text1"/>
          <w:sz w:val="22"/>
          <w:szCs w:val="22"/>
        </w:rPr>
        <w:t>he decline occurred</w:t>
      </w:r>
      <w:r w:rsidRPr="00AB4FD5">
        <w:rPr>
          <w:rFonts w:ascii="Arial" w:hAnsi="Arial" w:cs="Arial"/>
          <w:color w:val="000000" w:themeColor="text1"/>
          <w:sz w:val="22"/>
          <w:szCs w:val="22"/>
        </w:rPr>
        <w:t xml:space="preserve"> before </w:t>
      </w:r>
      <w:r w:rsidR="00E47D62">
        <w:rPr>
          <w:rFonts w:ascii="Arial" w:hAnsi="Arial" w:cs="Arial"/>
          <w:color w:val="000000" w:themeColor="text1"/>
          <w:sz w:val="22"/>
          <w:szCs w:val="22"/>
        </w:rPr>
        <w:t>lesions were noticeable. This study tested susceptible</w:t>
      </w:r>
      <w:r w:rsidR="0068709C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commentRangeStart w:id="0"/>
      <w:r w:rsidR="0068709C">
        <w:rPr>
          <w:rFonts w:ascii="Arial" w:hAnsi="Arial" w:cs="Arial"/>
          <w:color w:val="000000" w:themeColor="text1"/>
          <w:sz w:val="22"/>
          <w:szCs w:val="22"/>
        </w:rPr>
        <w:t xml:space="preserve">moderately resistant, </w:t>
      </w:r>
      <w:commentRangeEnd w:id="0"/>
      <w:r w:rsidR="002259F8">
        <w:rPr>
          <w:rStyle w:val="CommentReference"/>
          <w:rFonts w:ascii="Arial" w:hAnsi="Arial" w:cs="Arial"/>
          <w:color w:val="000000" w:themeColor="text1"/>
          <w:sz w:val="22"/>
          <w:szCs w:val="22"/>
        </w:rPr>
        <w:commentReference w:id="0"/>
      </w:r>
      <w:r w:rsidR="0068709C">
        <w:rPr>
          <w:rFonts w:ascii="Arial" w:hAnsi="Arial" w:cs="Arial"/>
          <w:color w:val="000000" w:themeColor="text1"/>
          <w:sz w:val="22"/>
          <w:szCs w:val="22"/>
        </w:rPr>
        <w:t xml:space="preserve">and </w:t>
      </w:r>
      <w:r w:rsidRPr="00AB4FD5">
        <w:rPr>
          <w:rFonts w:ascii="Arial" w:hAnsi="Arial" w:cs="Arial"/>
          <w:color w:val="000000" w:themeColor="text1"/>
          <w:sz w:val="22"/>
          <w:szCs w:val="22"/>
        </w:rPr>
        <w:t xml:space="preserve">resistant genotypes </w:t>
      </w:r>
      <w:r w:rsidR="0068709C">
        <w:rPr>
          <w:rFonts w:ascii="Arial" w:hAnsi="Arial" w:cs="Arial"/>
          <w:color w:val="000000" w:themeColor="text1"/>
          <w:sz w:val="22"/>
          <w:szCs w:val="22"/>
        </w:rPr>
        <w:t>of</w:t>
      </w:r>
      <w:r w:rsidR="00D629C2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AB4FD5">
        <w:rPr>
          <w:rFonts w:ascii="Arial" w:hAnsi="Arial" w:cs="Arial"/>
          <w:color w:val="000000" w:themeColor="text1"/>
          <w:sz w:val="22"/>
          <w:szCs w:val="22"/>
        </w:rPr>
        <w:t>different parental lineages</w:t>
      </w:r>
      <w:r w:rsidR="00E47D62">
        <w:rPr>
          <w:rFonts w:ascii="Arial" w:hAnsi="Arial" w:cs="Arial"/>
          <w:color w:val="000000" w:themeColor="text1"/>
          <w:sz w:val="22"/>
          <w:szCs w:val="22"/>
        </w:rPr>
        <w:t xml:space="preserve"> to see if this</w:t>
      </w:r>
      <w:r w:rsidRPr="00AB4FD5">
        <w:rPr>
          <w:rFonts w:ascii="Arial" w:hAnsi="Arial" w:cs="Arial"/>
          <w:color w:val="000000" w:themeColor="text1"/>
          <w:sz w:val="22"/>
          <w:szCs w:val="22"/>
        </w:rPr>
        <w:t xml:space="preserve"> pattern may be a universal predictor of host resistance to late leaf spot</w:t>
      </w:r>
      <w:r w:rsidR="00E47D62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AB4FD5">
        <w:rPr>
          <w:rFonts w:ascii="Arial" w:eastAsia="Times New Roman" w:hAnsi="Arial" w:cs="Arial"/>
          <w:sz w:val="22"/>
          <w:szCs w:val="22"/>
        </w:rPr>
        <w:t>Late leaf spot infections w</w:t>
      </w:r>
      <w:r w:rsidR="00D629C2">
        <w:rPr>
          <w:rFonts w:ascii="Arial" w:eastAsia="Times New Roman" w:hAnsi="Arial" w:cs="Arial"/>
          <w:sz w:val="22"/>
          <w:szCs w:val="22"/>
        </w:rPr>
        <w:t>ere initiated on</w:t>
      </w:r>
      <w:r w:rsidRPr="00AB4FD5">
        <w:rPr>
          <w:rFonts w:ascii="Arial" w:eastAsia="Times New Roman" w:hAnsi="Arial" w:cs="Arial"/>
          <w:sz w:val="22"/>
          <w:szCs w:val="22"/>
        </w:rPr>
        <w:t xml:space="preserve"> greenhouse grown plants </w:t>
      </w:r>
      <w:r w:rsidR="00D629C2">
        <w:rPr>
          <w:rFonts w:ascii="Arial" w:eastAsia="Times New Roman" w:hAnsi="Arial" w:cs="Arial"/>
          <w:sz w:val="22"/>
          <w:szCs w:val="22"/>
        </w:rPr>
        <w:t>of two susceptible cultivars,</w:t>
      </w:r>
      <w:r w:rsidRPr="00AB4FD5">
        <w:rPr>
          <w:rFonts w:ascii="Arial" w:eastAsia="Times New Roman" w:hAnsi="Arial" w:cs="Arial"/>
          <w:sz w:val="22"/>
          <w:szCs w:val="22"/>
        </w:rPr>
        <w:t xml:space="preserve"> Georgia-13M and TUFRunner 511</w:t>
      </w:r>
      <w:r w:rsidR="00D629C2">
        <w:rPr>
          <w:rFonts w:ascii="Arial" w:eastAsia="Times New Roman" w:hAnsi="Arial" w:cs="Arial"/>
          <w:sz w:val="22"/>
          <w:szCs w:val="22"/>
        </w:rPr>
        <w:t xml:space="preserve">, </w:t>
      </w:r>
      <w:r w:rsidR="0068709C">
        <w:rPr>
          <w:rFonts w:ascii="Arial" w:eastAsia="Times New Roman" w:hAnsi="Arial" w:cs="Arial"/>
          <w:sz w:val="22"/>
          <w:szCs w:val="22"/>
        </w:rPr>
        <w:t>t</w:t>
      </w:r>
      <w:r w:rsidR="004C20C6">
        <w:rPr>
          <w:rFonts w:ascii="Arial" w:eastAsia="Times New Roman" w:hAnsi="Arial" w:cs="Arial"/>
          <w:sz w:val="22"/>
          <w:szCs w:val="22"/>
        </w:rPr>
        <w:t>hree</w:t>
      </w:r>
      <w:r w:rsidR="0068709C">
        <w:rPr>
          <w:rFonts w:ascii="Arial" w:eastAsia="Times New Roman" w:hAnsi="Arial" w:cs="Arial"/>
          <w:sz w:val="22"/>
          <w:szCs w:val="22"/>
        </w:rPr>
        <w:t xml:space="preserve"> moderately resistant cultivars, TFGP-6, </w:t>
      </w:r>
      <w:r w:rsidR="004C20C6">
        <w:rPr>
          <w:rFonts w:ascii="Arial" w:eastAsia="Times New Roman" w:hAnsi="Arial" w:cs="Arial"/>
          <w:sz w:val="22"/>
          <w:szCs w:val="22"/>
        </w:rPr>
        <w:t xml:space="preserve">Georganic, </w:t>
      </w:r>
      <w:r w:rsidR="0068709C">
        <w:rPr>
          <w:rFonts w:ascii="Arial" w:eastAsia="Times New Roman" w:hAnsi="Arial" w:cs="Arial"/>
          <w:sz w:val="22"/>
          <w:szCs w:val="22"/>
        </w:rPr>
        <w:t xml:space="preserve">and Georgia RU-18, </w:t>
      </w:r>
      <w:r w:rsidRPr="00AB4FD5">
        <w:rPr>
          <w:rFonts w:ascii="Arial" w:eastAsia="Times New Roman" w:hAnsi="Arial" w:cs="Arial"/>
          <w:sz w:val="22"/>
          <w:szCs w:val="22"/>
        </w:rPr>
        <w:t xml:space="preserve">and </w:t>
      </w:r>
      <w:r w:rsidR="00D629C2">
        <w:rPr>
          <w:rFonts w:ascii="Arial" w:eastAsia="Times New Roman" w:hAnsi="Arial" w:cs="Arial"/>
          <w:sz w:val="22"/>
          <w:szCs w:val="22"/>
        </w:rPr>
        <w:t>t</w:t>
      </w:r>
      <w:r w:rsidR="004C20C6">
        <w:rPr>
          <w:rFonts w:ascii="Arial" w:eastAsia="Times New Roman" w:hAnsi="Arial" w:cs="Arial"/>
          <w:sz w:val="22"/>
          <w:szCs w:val="22"/>
        </w:rPr>
        <w:t xml:space="preserve">wo </w:t>
      </w:r>
      <w:r w:rsidR="00D629C2">
        <w:rPr>
          <w:rFonts w:ascii="Arial" w:eastAsia="Times New Roman" w:hAnsi="Arial" w:cs="Arial"/>
          <w:sz w:val="22"/>
          <w:szCs w:val="22"/>
        </w:rPr>
        <w:t>resistant cultivars, Tif</w:t>
      </w:r>
      <w:r w:rsidRPr="00AB4FD5">
        <w:rPr>
          <w:rFonts w:ascii="Arial" w:eastAsia="Times New Roman" w:hAnsi="Arial" w:cs="Arial"/>
          <w:sz w:val="22"/>
          <w:szCs w:val="22"/>
        </w:rPr>
        <w:t>CB</w:t>
      </w:r>
      <w:r w:rsidR="00D629C2">
        <w:rPr>
          <w:rFonts w:ascii="Arial" w:eastAsia="Times New Roman" w:hAnsi="Arial" w:cs="Arial"/>
          <w:sz w:val="22"/>
          <w:szCs w:val="22"/>
        </w:rPr>
        <w:t>-</w:t>
      </w:r>
      <w:r w:rsidRPr="00AB4FD5">
        <w:rPr>
          <w:rFonts w:ascii="Arial" w:eastAsia="Times New Roman" w:hAnsi="Arial" w:cs="Arial"/>
          <w:sz w:val="22"/>
          <w:szCs w:val="22"/>
        </w:rPr>
        <w:t>7</w:t>
      </w:r>
      <w:r w:rsidR="004C20C6">
        <w:rPr>
          <w:rFonts w:ascii="Arial" w:eastAsia="Times New Roman" w:hAnsi="Arial" w:cs="Arial"/>
          <w:sz w:val="22"/>
          <w:szCs w:val="22"/>
        </w:rPr>
        <w:t xml:space="preserve"> and </w:t>
      </w:r>
      <w:r w:rsidRPr="00AB4FD5">
        <w:rPr>
          <w:rFonts w:ascii="Arial" w:eastAsia="Times New Roman" w:hAnsi="Arial" w:cs="Arial"/>
          <w:sz w:val="22"/>
          <w:szCs w:val="22"/>
        </w:rPr>
        <w:t xml:space="preserve">TFGP-5. </w:t>
      </w:r>
      <w:r w:rsidR="00D629C2">
        <w:rPr>
          <w:rFonts w:ascii="Arial" w:eastAsia="Times New Roman" w:hAnsi="Arial" w:cs="Arial"/>
          <w:sz w:val="22"/>
          <w:szCs w:val="22"/>
        </w:rPr>
        <w:t xml:space="preserve">A PAM fluorometer was used to measure Qymax </w:t>
      </w:r>
      <w:r w:rsidRPr="00AB4FD5">
        <w:rPr>
          <w:rFonts w:ascii="Arial" w:eastAsia="Times New Roman" w:hAnsi="Arial" w:cs="Arial"/>
          <w:sz w:val="22"/>
          <w:szCs w:val="22"/>
        </w:rPr>
        <w:t>at 5, 7, 9, 12, and 18 d</w:t>
      </w:r>
      <w:r w:rsidR="00D629C2">
        <w:rPr>
          <w:rFonts w:ascii="Arial" w:eastAsia="Times New Roman" w:hAnsi="Arial" w:cs="Arial"/>
          <w:sz w:val="22"/>
          <w:szCs w:val="22"/>
        </w:rPr>
        <w:t xml:space="preserve">ays </w:t>
      </w:r>
      <w:r w:rsidRPr="00AB4FD5">
        <w:rPr>
          <w:rFonts w:ascii="Arial" w:eastAsia="Times New Roman" w:hAnsi="Arial" w:cs="Arial"/>
          <w:sz w:val="22"/>
          <w:szCs w:val="22"/>
        </w:rPr>
        <w:t>a</w:t>
      </w:r>
      <w:r w:rsidR="00D629C2">
        <w:rPr>
          <w:rFonts w:ascii="Arial" w:eastAsia="Times New Roman" w:hAnsi="Arial" w:cs="Arial"/>
          <w:sz w:val="22"/>
          <w:szCs w:val="22"/>
        </w:rPr>
        <w:t xml:space="preserve">fter </w:t>
      </w:r>
      <w:r w:rsidRPr="00AB4FD5">
        <w:rPr>
          <w:rFonts w:ascii="Arial" w:eastAsia="Times New Roman" w:hAnsi="Arial" w:cs="Arial"/>
          <w:sz w:val="22"/>
          <w:szCs w:val="22"/>
        </w:rPr>
        <w:t>i</w:t>
      </w:r>
      <w:r w:rsidR="00D629C2">
        <w:rPr>
          <w:rFonts w:ascii="Arial" w:eastAsia="Times New Roman" w:hAnsi="Arial" w:cs="Arial"/>
          <w:sz w:val="22"/>
          <w:szCs w:val="22"/>
        </w:rPr>
        <w:t>noculation</w:t>
      </w:r>
      <w:r w:rsidR="007F2F48">
        <w:rPr>
          <w:rFonts w:ascii="Arial" w:eastAsia="Times New Roman" w:hAnsi="Arial" w:cs="Arial"/>
          <w:sz w:val="22"/>
          <w:szCs w:val="22"/>
        </w:rPr>
        <w:t xml:space="preserve"> (dai). Five measures per assessment were averaged prior to statistical analyses</w:t>
      </w:r>
      <w:r w:rsidR="004C20C6">
        <w:rPr>
          <w:rFonts w:ascii="Arial" w:eastAsia="Times New Roman" w:hAnsi="Arial" w:cs="Arial"/>
          <w:sz w:val="22"/>
          <w:szCs w:val="22"/>
        </w:rPr>
        <w:t xml:space="preserve"> comparing host resistance groupings. </w:t>
      </w:r>
      <w:r w:rsidR="00D629C2">
        <w:rPr>
          <w:rFonts w:ascii="Arial" w:eastAsia="Times New Roman" w:hAnsi="Arial" w:cs="Arial"/>
          <w:sz w:val="22"/>
          <w:szCs w:val="22"/>
        </w:rPr>
        <w:t xml:space="preserve">Qymax values </w:t>
      </w:r>
      <w:r w:rsidR="007F2F48">
        <w:rPr>
          <w:rFonts w:ascii="Arial" w:eastAsia="Times New Roman" w:hAnsi="Arial" w:cs="Arial"/>
          <w:sz w:val="22"/>
          <w:szCs w:val="22"/>
        </w:rPr>
        <w:t>of the susceptible cultivars</w:t>
      </w:r>
      <w:r w:rsidR="00B33594">
        <w:rPr>
          <w:rFonts w:ascii="Arial" w:eastAsia="Times New Roman" w:hAnsi="Arial" w:cs="Arial"/>
          <w:sz w:val="22"/>
          <w:szCs w:val="22"/>
        </w:rPr>
        <w:t xml:space="preserve"> </w:t>
      </w:r>
      <w:r w:rsidR="00D629C2">
        <w:rPr>
          <w:rFonts w:ascii="Arial" w:eastAsia="Times New Roman" w:hAnsi="Arial" w:cs="Arial"/>
          <w:sz w:val="22"/>
          <w:szCs w:val="22"/>
        </w:rPr>
        <w:t xml:space="preserve">were significantly lower </w:t>
      </w:r>
      <w:r w:rsidR="007F2F48">
        <w:rPr>
          <w:rFonts w:ascii="Arial" w:eastAsia="Times New Roman" w:hAnsi="Arial" w:cs="Arial"/>
          <w:sz w:val="22"/>
          <w:szCs w:val="22"/>
        </w:rPr>
        <w:t>than the</w:t>
      </w:r>
      <w:r w:rsidR="00B33594">
        <w:rPr>
          <w:rFonts w:ascii="Arial" w:eastAsia="Times New Roman" w:hAnsi="Arial" w:cs="Arial"/>
          <w:sz w:val="22"/>
          <w:szCs w:val="22"/>
        </w:rPr>
        <w:t>ir uninoculated</w:t>
      </w:r>
      <w:r w:rsidR="007F2F48">
        <w:rPr>
          <w:rFonts w:ascii="Arial" w:eastAsia="Times New Roman" w:hAnsi="Arial" w:cs="Arial"/>
          <w:sz w:val="22"/>
          <w:szCs w:val="22"/>
        </w:rPr>
        <w:t xml:space="preserve"> controls by 5 dai (P&lt;0.01) and significantly lower than the</w:t>
      </w:r>
      <w:r w:rsidR="00D629C2">
        <w:rPr>
          <w:rFonts w:ascii="Arial" w:eastAsia="Times New Roman" w:hAnsi="Arial" w:cs="Arial"/>
          <w:sz w:val="22"/>
          <w:szCs w:val="22"/>
        </w:rPr>
        <w:t xml:space="preserve"> </w:t>
      </w:r>
      <w:r w:rsidR="006F3556">
        <w:rPr>
          <w:rFonts w:ascii="Arial" w:eastAsia="Times New Roman" w:hAnsi="Arial" w:cs="Arial"/>
          <w:sz w:val="22"/>
          <w:szCs w:val="22"/>
        </w:rPr>
        <w:t xml:space="preserve">moderately resistant and </w:t>
      </w:r>
      <w:r w:rsidR="00D629C2">
        <w:rPr>
          <w:rFonts w:ascii="Arial" w:eastAsia="Times New Roman" w:hAnsi="Arial" w:cs="Arial"/>
          <w:sz w:val="22"/>
          <w:szCs w:val="22"/>
        </w:rPr>
        <w:t xml:space="preserve">resistant cultivars </w:t>
      </w:r>
      <w:r w:rsidR="007F2F48">
        <w:rPr>
          <w:rFonts w:ascii="Arial" w:eastAsia="Times New Roman" w:hAnsi="Arial" w:cs="Arial"/>
          <w:sz w:val="22"/>
          <w:szCs w:val="22"/>
        </w:rPr>
        <w:t xml:space="preserve">by 7 </w:t>
      </w:r>
      <w:r w:rsidR="00D629C2">
        <w:rPr>
          <w:rFonts w:ascii="Arial" w:eastAsia="Times New Roman" w:hAnsi="Arial" w:cs="Arial"/>
          <w:sz w:val="22"/>
          <w:szCs w:val="22"/>
        </w:rPr>
        <w:t>dai</w:t>
      </w:r>
      <w:r w:rsidR="007F2F48">
        <w:rPr>
          <w:rFonts w:ascii="Arial" w:eastAsia="Times New Roman" w:hAnsi="Arial" w:cs="Arial"/>
          <w:sz w:val="22"/>
          <w:szCs w:val="22"/>
        </w:rPr>
        <w:t xml:space="preserve"> (</w:t>
      </w:r>
      <w:r w:rsidR="002259F8">
        <w:rPr>
          <w:rFonts w:ascii="Arial" w:eastAsia="Times New Roman" w:hAnsi="Arial" w:cs="Arial"/>
          <w:sz w:val="22"/>
          <w:szCs w:val="22"/>
        </w:rPr>
        <w:t>P</w:t>
      </w:r>
      <w:r w:rsidR="007F2F48">
        <w:rPr>
          <w:rFonts w:ascii="Arial" w:eastAsia="Times New Roman" w:hAnsi="Arial" w:cs="Arial"/>
          <w:sz w:val="22"/>
          <w:szCs w:val="22"/>
        </w:rPr>
        <w:t xml:space="preserve">&lt;0.01). These differences continued at all remaining assessment dates. </w:t>
      </w:r>
      <w:r w:rsidR="0068709C">
        <w:rPr>
          <w:rFonts w:ascii="Arial" w:eastAsia="Times New Roman" w:hAnsi="Arial" w:cs="Arial"/>
          <w:sz w:val="22"/>
          <w:szCs w:val="22"/>
        </w:rPr>
        <w:t>Qymax values of the moderately resistant genotypes were significantly lower than their uninoculated controls</w:t>
      </w:r>
      <w:r w:rsidR="006F3556">
        <w:rPr>
          <w:rFonts w:ascii="Arial" w:eastAsia="Times New Roman" w:hAnsi="Arial" w:cs="Arial"/>
          <w:sz w:val="22"/>
          <w:szCs w:val="22"/>
        </w:rPr>
        <w:t xml:space="preserve"> and the resistant cultivars</w:t>
      </w:r>
      <w:r w:rsidR="0068709C">
        <w:rPr>
          <w:rFonts w:ascii="Arial" w:eastAsia="Times New Roman" w:hAnsi="Arial" w:cs="Arial"/>
          <w:sz w:val="22"/>
          <w:szCs w:val="22"/>
        </w:rPr>
        <w:t xml:space="preserve"> by </w:t>
      </w:r>
      <w:r w:rsidR="004C20C6">
        <w:rPr>
          <w:rFonts w:ascii="Arial" w:eastAsia="Times New Roman" w:hAnsi="Arial" w:cs="Arial"/>
          <w:sz w:val="22"/>
          <w:szCs w:val="22"/>
        </w:rPr>
        <w:t>9</w:t>
      </w:r>
      <w:r w:rsidR="0068709C">
        <w:rPr>
          <w:rFonts w:ascii="Arial" w:eastAsia="Times New Roman" w:hAnsi="Arial" w:cs="Arial"/>
          <w:sz w:val="22"/>
          <w:szCs w:val="22"/>
        </w:rPr>
        <w:t xml:space="preserve"> dai (P&lt;0.0</w:t>
      </w:r>
      <w:r w:rsidR="002259F8">
        <w:rPr>
          <w:rFonts w:ascii="Arial" w:eastAsia="Times New Roman" w:hAnsi="Arial" w:cs="Arial"/>
          <w:sz w:val="22"/>
          <w:szCs w:val="22"/>
        </w:rPr>
        <w:t>1</w:t>
      </w:r>
      <w:r w:rsidR="0068709C">
        <w:rPr>
          <w:rFonts w:ascii="Arial" w:eastAsia="Times New Roman" w:hAnsi="Arial" w:cs="Arial"/>
          <w:sz w:val="22"/>
          <w:szCs w:val="22"/>
        </w:rPr>
        <w:t>)</w:t>
      </w:r>
      <w:r w:rsidR="006F3556">
        <w:rPr>
          <w:rFonts w:ascii="Arial" w:eastAsia="Times New Roman" w:hAnsi="Arial" w:cs="Arial"/>
          <w:sz w:val="22"/>
          <w:szCs w:val="22"/>
        </w:rPr>
        <w:t xml:space="preserve">. The resistant cultivars were significantly lower than their uninoculated controls by 9 dai (P&lt;0.05). </w:t>
      </w:r>
      <w:r w:rsidR="00B33594">
        <w:rPr>
          <w:rFonts w:ascii="Arial" w:eastAsia="Times New Roman" w:hAnsi="Arial" w:cs="Arial"/>
          <w:sz w:val="22"/>
          <w:szCs w:val="22"/>
        </w:rPr>
        <w:t xml:space="preserve">A second trial is underway. </w:t>
      </w:r>
    </w:p>
    <w:p w14:paraId="1064C0F1" w14:textId="77777777" w:rsidR="006B030B" w:rsidRDefault="006B030B" w:rsidP="00B141A9">
      <w:pPr>
        <w:spacing w:line="240" w:lineRule="auto"/>
      </w:pPr>
    </w:p>
    <w:p w14:paraId="3A8843C7" w14:textId="77777777" w:rsidR="006B030B" w:rsidRDefault="006B030B" w:rsidP="00B141A9">
      <w:pPr>
        <w:spacing w:line="240" w:lineRule="auto"/>
      </w:pPr>
    </w:p>
    <w:p w14:paraId="2A3D0FB3" w14:textId="77777777" w:rsidR="00653449" w:rsidRDefault="00653449" w:rsidP="00B141A9">
      <w:pPr>
        <w:spacing w:line="240" w:lineRule="auto"/>
      </w:pPr>
    </w:p>
    <w:sectPr w:rsidR="0065344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emily cantonwine" w:date="2026-03-29T11:04:00Z" w:initials="ec">
    <w:p w14:paraId="50E32832" w14:textId="77777777" w:rsidR="002259F8" w:rsidRDefault="002259F8" w:rsidP="002259F8">
      <w:r>
        <w:rPr>
          <w:rStyle w:val="CommentReference"/>
        </w:rPr>
        <w:annotationRef/>
      </w:r>
      <w:r>
        <w:rPr>
          <w:sz w:val="20"/>
          <w:szCs w:val="20"/>
        </w:rPr>
        <w:t>I added this!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0E32832" w15:done="1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24389F92" w16cex:dateUtc="2026-03-29T15:04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0E32832" w16cid:durableId="24389F9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393184"/>
    <w:multiLevelType w:val="hybridMultilevel"/>
    <w:tmpl w:val="06E2508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737EA"/>
    <w:multiLevelType w:val="hybridMultilevel"/>
    <w:tmpl w:val="3C9A55A0"/>
    <w:lvl w:ilvl="0" w:tplc="1AE63234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8519249">
    <w:abstractNumId w:val="1"/>
  </w:num>
  <w:num w:numId="2" w16cid:durableId="418020359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emily cantonwine">
    <w15:presenceInfo w15:providerId="Windows Live" w15:userId="6e6bbb8d49e71a6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7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04DE"/>
    <w:rsid w:val="00000E37"/>
    <w:rsid w:val="00033A5D"/>
    <w:rsid w:val="000562FF"/>
    <w:rsid w:val="00073D42"/>
    <w:rsid w:val="000C6472"/>
    <w:rsid w:val="0014227C"/>
    <w:rsid w:val="00181C9D"/>
    <w:rsid w:val="00192FFB"/>
    <w:rsid w:val="00196E3A"/>
    <w:rsid w:val="001C5412"/>
    <w:rsid w:val="0021163B"/>
    <w:rsid w:val="002259F8"/>
    <w:rsid w:val="0026408E"/>
    <w:rsid w:val="00300F17"/>
    <w:rsid w:val="0033534D"/>
    <w:rsid w:val="00370ABD"/>
    <w:rsid w:val="003B3BA3"/>
    <w:rsid w:val="00460969"/>
    <w:rsid w:val="00467204"/>
    <w:rsid w:val="004C20C6"/>
    <w:rsid w:val="004D672D"/>
    <w:rsid w:val="00500447"/>
    <w:rsid w:val="00554C6A"/>
    <w:rsid w:val="00565FF8"/>
    <w:rsid w:val="005660F4"/>
    <w:rsid w:val="005805D2"/>
    <w:rsid w:val="005D5E77"/>
    <w:rsid w:val="00617F10"/>
    <w:rsid w:val="00653449"/>
    <w:rsid w:val="0068709C"/>
    <w:rsid w:val="006B030B"/>
    <w:rsid w:val="006F04D4"/>
    <w:rsid w:val="006F3556"/>
    <w:rsid w:val="007335DD"/>
    <w:rsid w:val="00734A33"/>
    <w:rsid w:val="00747E06"/>
    <w:rsid w:val="007B2BD9"/>
    <w:rsid w:val="007F13DA"/>
    <w:rsid w:val="007F2F48"/>
    <w:rsid w:val="00800AD1"/>
    <w:rsid w:val="008C4D47"/>
    <w:rsid w:val="009801DE"/>
    <w:rsid w:val="009F1FE8"/>
    <w:rsid w:val="00A04304"/>
    <w:rsid w:val="00AB4FD5"/>
    <w:rsid w:val="00AD2DF4"/>
    <w:rsid w:val="00B0029C"/>
    <w:rsid w:val="00B141A9"/>
    <w:rsid w:val="00B33594"/>
    <w:rsid w:val="00B502D2"/>
    <w:rsid w:val="00B8015E"/>
    <w:rsid w:val="00B87317"/>
    <w:rsid w:val="00B904DE"/>
    <w:rsid w:val="00BD4D8E"/>
    <w:rsid w:val="00C33710"/>
    <w:rsid w:val="00C728EB"/>
    <w:rsid w:val="00C96659"/>
    <w:rsid w:val="00CE1A16"/>
    <w:rsid w:val="00D629C2"/>
    <w:rsid w:val="00D9287B"/>
    <w:rsid w:val="00E47D62"/>
    <w:rsid w:val="00ED32EB"/>
    <w:rsid w:val="00EE08A4"/>
    <w:rsid w:val="00EF3A1D"/>
    <w:rsid w:val="00F82EA0"/>
    <w:rsid w:val="00FF25C4"/>
    <w:rsid w:val="00FF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0F0A37"/>
  <w15:chartTrackingRefBased/>
  <w15:docId w15:val="{68E896D8-F056-4099-9C45-06E7C406C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04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04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04D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04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04D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04D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04D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04D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04D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04D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04D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04D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04D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04D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04D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04D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04D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04D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04D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0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04D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04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04D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04D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04D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04D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04D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04D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04DE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rsid w:val="00AB4FD5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character" w:styleId="CommentReference">
    <w:name w:val="annotation reference"/>
    <w:basedOn w:val="DefaultParagraphFont"/>
    <w:uiPriority w:val="99"/>
    <w:semiHidden/>
    <w:unhideWhenUsed/>
    <w:rsid w:val="002259F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259F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259F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259F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259F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8/08/relationships/commentsExtensible" Target="commentsExtensi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theme" Target="theme/theme1.xml"/><Relationship Id="rId5" Type="http://schemas.openxmlformats.org/officeDocument/2006/relationships/comments" Target="comment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Charlotte O Beebout</dc:creator>
  <cp:keywords/>
  <dc:description/>
  <cp:lastModifiedBy>Charlotte O Beebout</cp:lastModifiedBy>
  <cp:revision>2</cp:revision>
  <dcterms:created xsi:type="dcterms:W3CDTF">2026-03-31T17:03:00Z</dcterms:created>
  <dcterms:modified xsi:type="dcterms:W3CDTF">2026-03-31T17:03:00Z</dcterms:modified>
</cp:coreProperties>
</file>