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B3234" w14:textId="36E4F351" w:rsidR="00D26B91" w:rsidRDefault="00D26B91" w:rsidP="00D26B91">
      <w:pPr>
        <w:spacing w:line="240" w:lineRule="auto"/>
        <w:rPr>
          <w:b/>
          <w:bCs/>
        </w:rPr>
      </w:pPr>
      <w:r>
        <w:rPr>
          <w:b/>
          <w:bCs/>
        </w:rPr>
        <w:t>Effects</w:t>
      </w:r>
      <w:r w:rsidR="00615277">
        <w:rPr>
          <w:b/>
          <w:bCs/>
        </w:rPr>
        <w:t xml:space="preserve"> of Seed and Foliar Micronutrient </w:t>
      </w:r>
      <w:r w:rsidR="00F62AFF">
        <w:rPr>
          <w:b/>
          <w:bCs/>
        </w:rPr>
        <w:t>A</w:t>
      </w:r>
      <w:r w:rsidR="00615277">
        <w:rPr>
          <w:b/>
          <w:bCs/>
        </w:rPr>
        <w:t>pplications on Peanut Yield</w:t>
      </w:r>
    </w:p>
    <w:p w14:paraId="499E1D65" w14:textId="77777777" w:rsidR="00615277" w:rsidRDefault="00615277" w:rsidP="00615277">
      <w:pPr>
        <w:spacing w:line="240" w:lineRule="auto"/>
      </w:pPr>
      <w:r>
        <w:rPr>
          <w:b/>
          <w:bCs/>
        </w:rPr>
        <w:t>Tuberville, J.</w:t>
      </w:r>
      <w:r>
        <w:rPr>
          <w:b/>
          <w:bCs/>
          <w:vertAlign w:val="superscript"/>
        </w:rPr>
        <w:t>1</w:t>
      </w:r>
      <w:r>
        <w:rPr>
          <w:b/>
          <w:bCs/>
        </w:rPr>
        <w:t xml:space="preserve">, </w:t>
      </w:r>
      <w:r>
        <w:t>Zurweller, B.</w:t>
      </w:r>
      <w:r>
        <w:rPr>
          <w:vertAlign w:val="superscript"/>
        </w:rPr>
        <w:t>1</w:t>
      </w:r>
      <w:r>
        <w:t>, Pieralisi, B.</w:t>
      </w:r>
      <w:r>
        <w:rPr>
          <w:vertAlign w:val="superscript"/>
        </w:rPr>
        <w:t>1</w:t>
      </w:r>
      <w:r>
        <w:t>, Vaughn, R.</w:t>
      </w:r>
      <w:r>
        <w:rPr>
          <w:vertAlign w:val="superscript"/>
        </w:rPr>
        <w:t>1</w:t>
      </w:r>
      <w:r>
        <w:t>, Whitney, C.</w:t>
      </w:r>
      <w:r>
        <w:rPr>
          <w:vertAlign w:val="superscript"/>
        </w:rPr>
        <w:t>2</w:t>
      </w:r>
    </w:p>
    <w:p w14:paraId="51DA8DFF" w14:textId="77777777" w:rsidR="00615277" w:rsidRDefault="00615277" w:rsidP="00F62AFF">
      <w:pPr>
        <w:spacing w:after="0" w:line="240" w:lineRule="auto"/>
      </w:pPr>
      <w:r>
        <w:rPr>
          <w:vertAlign w:val="superscript"/>
        </w:rPr>
        <w:t>1</w:t>
      </w:r>
      <w:r>
        <w:t>Department of Plant and Soil Sciences, Mississippi State University, Starkville, MS.</w:t>
      </w:r>
    </w:p>
    <w:p w14:paraId="05DE9D3B" w14:textId="6EF9526D" w:rsidR="00615277" w:rsidRDefault="00615277" w:rsidP="00F62AFF">
      <w:pPr>
        <w:spacing w:after="0" w:line="240" w:lineRule="auto"/>
      </w:pPr>
      <w:r>
        <w:rPr>
          <w:vertAlign w:val="superscript"/>
        </w:rPr>
        <w:t>2</w:t>
      </w:r>
      <w:r>
        <w:t>Department of Agricultural Science and Plant Protection, Mississippi State University, Starkville, MS.</w:t>
      </w:r>
    </w:p>
    <w:p w14:paraId="4BF0EBE1" w14:textId="77777777" w:rsidR="00F62AFF" w:rsidRDefault="00F62AFF" w:rsidP="00F62AFF">
      <w:pPr>
        <w:spacing w:after="0" w:line="240" w:lineRule="auto"/>
      </w:pPr>
    </w:p>
    <w:p w14:paraId="3AAD4049" w14:textId="0AEDA472" w:rsidR="00615277" w:rsidRDefault="00615277" w:rsidP="00615277">
      <w:pPr>
        <w:spacing w:line="240" w:lineRule="auto"/>
      </w:pPr>
      <w:r>
        <w:t>Micronutrient fertilization</w:t>
      </w:r>
      <w:r w:rsidR="00F62AFF">
        <w:t xml:space="preserve"> applied to </w:t>
      </w:r>
      <w:proofErr w:type="gramStart"/>
      <w:r w:rsidR="00F62AFF">
        <w:t>peanut</w:t>
      </w:r>
      <w:proofErr w:type="gramEnd"/>
      <w:r w:rsidR="00F62AFF">
        <w:t xml:space="preserve"> is often limited to foliar applications of boron. However, peanuts are cultivated on sandy low organic matter soils that commonly test low in micronutrients other than boron. </w:t>
      </w:r>
      <w:r>
        <w:t xml:space="preserve">The objective of this study is to evaluate seed and foliar micronutrient products and </w:t>
      </w:r>
      <w:r w:rsidR="00E90B55">
        <w:t>their</w:t>
      </w:r>
      <w:r>
        <w:t xml:space="preserve"> effects on peanut yield and quality.</w:t>
      </w:r>
      <w:r w:rsidR="002562B0">
        <w:t xml:space="preserve"> Treatments included</w:t>
      </w:r>
      <w:r w:rsidR="00E90B55">
        <w:t xml:space="preserve"> single and broad spectrum micronutrient including</w:t>
      </w:r>
      <w:r w:rsidR="002562B0">
        <w:t xml:space="preserve">; i) </w:t>
      </w:r>
      <w:r w:rsidR="00E90B55">
        <w:t>n</w:t>
      </w:r>
      <w:r w:rsidR="002562B0">
        <w:t xml:space="preserve">on-treated control, ii) </w:t>
      </w:r>
      <w:r w:rsidR="00E90B55">
        <w:t>S</w:t>
      </w:r>
      <w:r w:rsidR="002562B0">
        <w:t>eed Flow Micro (</w:t>
      </w:r>
      <w:r w:rsidR="002562B0" w:rsidRPr="002562B0">
        <w:t>3.0% Zn, 1.5% Fe, 1.5% Mn, 0.25% B, 0.25% Cu, 0.5% Mo</w:t>
      </w:r>
      <w:r w:rsidR="002562B0">
        <w:t>), iii) Seed Flow Nutra (</w:t>
      </w:r>
      <w:r w:rsidR="002562B0" w:rsidRPr="002562B0">
        <w:t>3.0% Mn, 3.0% Mo, 2.0% Fe, 0.25% B, 0.25% Cu</w:t>
      </w:r>
      <w:r w:rsidR="002562B0">
        <w:t xml:space="preserve">), iv) Brandt 10B (10% B), v) </w:t>
      </w:r>
      <w:r w:rsidR="00E90B55">
        <w:t>Brandt 10B (10% B)</w:t>
      </w:r>
      <w:r w:rsidR="002562B0">
        <w:t xml:space="preserve"> + </w:t>
      </w:r>
      <w:r w:rsidR="00E90B55">
        <w:t xml:space="preserve">Brandt Mn 52 </w:t>
      </w:r>
      <w:r w:rsidR="002562B0">
        <w:t>(</w:t>
      </w:r>
      <w:r w:rsidR="00E90B55">
        <w:t>2</w:t>
      </w:r>
      <w:r w:rsidR="002562B0">
        <w:t xml:space="preserve">% S, 5% Mn), vi) Smart Quatro Plus (5% N, 2% S, </w:t>
      </w:r>
      <w:r w:rsidR="00D64C95">
        <w:t xml:space="preserve">0.5% B, 2% Mn, 0.05% Mo, 2% Zn), vii) Seed Flow Micro + Brandt 10B, viii) Seed Flow Micro + </w:t>
      </w:r>
      <w:r w:rsidR="00E90B55">
        <w:t>Brandt 10B  + Brandt Mn</w:t>
      </w:r>
      <w:r w:rsidR="00E90B55">
        <w:t xml:space="preserve"> 52</w:t>
      </w:r>
      <w:r w:rsidR="00D64C95">
        <w:t xml:space="preserve">, ix) Seed Flow Micro + Smart Quatro, x) Seed Flow Nutra + Brandt 10B, xi) Seed Flow Nutra + </w:t>
      </w:r>
      <w:r w:rsidR="00E90B55">
        <w:t>Brandt 10B  + Brandt Mn 52</w:t>
      </w:r>
      <w:r w:rsidR="00D64C95">
        <w:t xml:space="preserve">, xii) Seed Flow Nutra + Smart Quatro. In 2025, pod yield for all treatments </w:t>
      </w:r>
      <w:r w:rsidR="00D33CA6">
        <w:t>was greater than the non-treated control with the exception of</w:t>
      </w:r>
      <w:r w:rsidR="00D64C95">
        <w:t xml:space="preserve"> treatment v</w:t>
      </w:r>
      <w:r w:rsidR="00D33CA6">
        <w:t xml:space="preserve">. All treatments that received micronutrients </w:t>
      </w:r>
      <w:r w:rsidR="00D64C95">
        <w:t xml:space="preserve">were similar to each other. This suggests </w:t>
      </w:r>
      <w:r w:rsidR="00D33CA6">
        <w:t xml:space="preserve">pod yield increases from micronutrients was attributed to boron and </w:t>
      </w:r>
      <w:r w:rsidR="00D64C95">
        <w:t xml:space="preserve">there </w:t>
      </w:r>
      <w:r w:rsidR="00D33CA6">
        <w:t>was</w:t>
      </w:r>
      <w:r w:rsidR="00D64C95">
        <w:t xml:space="preserve"> no additive effect from other </w:t>
      </w:r>
      <w:r w:rsidR="00D33CA6">
        <w:t>micro</w:t>
      </w:r>
      <w:r w:rsidR="00D64C95">
        <w:t xml:space="preserve">nutrients. </w:t>
      </w:r>
    </w:p>
    <w:p w14:paraId="62A348FC" w14:textId="77777777" w:rsidR="00615277" w:rsidRPr="00D26B91" w:rsidRDefault="00615277" w:rsidP="00D26B91">
      <w:pPr>
        <w:spacing w:line="240" w:lineRule="auto"/>
        <w:rPr>
          <w:b/>
          <w:bCs/>
        </w:rPr>
      </w:pPr>
    </w:p>
    <w:sectPr w:rsidR="00615277" w:rsidRPr="00D26B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B91"/>
    <w:rsid w:val="002562B0"/>
    <w:rsid w:val="00615277"/>
    <w:rsid w:val="006467EF"/>
    <w:rsid w:val="008D161E"/>
    <w:rsid w:val="00D26B91"/>
    <w:rsid w:val="00D33CA6"/>
    <w:rsid w:val="00D64C95"/>
    <w:rsid w:val="00D750C2"/>
    <w:rsid w:val="00E90B55"/>
    <w:rsid w:val="00F6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5610E"/>
  <w15:chartTrackingRefBased/>
  <w15:docId w15:val="{F9144681-2CC9-47FC-91D2-9845D490C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6B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B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B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B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B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B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B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B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B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B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B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B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B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B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B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B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B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B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6B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B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B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B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6B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B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6B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6B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B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B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6B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1406</Characters>
  <Application>Microsoft Office Word</Application>
  <DocSecurity>0</DocSecurity>
  <Lines>19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Zurweller</dc:creator>
  <cp:keywords/>
  <dc:description/>
  <cp:lastModifiedBy>Zurweller, Brendan</cp:lastModifiedBy>
  <cp:revision>2</cp:revision>
  <dcterms:created xsi:type="dcterms:W3CDTF">2026-03-30T14:02:00Z</dcterms:created>
  <dcterms:modified xsi:type="dcterms:W3CDTF">2026-03-30T14:02:00Z</dcterms:modified>
</cp:coreProperties>
</file>