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50ED5" w14:textId="3DD39E53" w:rsidR="00404032" w:rsidRPr="00460661" w:rsidRDefault="00404032" w:rsidP="00A55158">
      <w:pPr>
        <w:spacing w:line="240" w:lineRule="auto"/>
        <w:rPr>
          <w:rFonts w:ascii="Aptos" w:hAnsi="Aptos" w:cs="Arial"/>
          <w:b/>
          <w:bCs/>
        </w:rPr>
      </w:pPr>
      <w:r w:rsidRPr="00460661">
        <w:rPr>
          <w:rFonts w:ascii="Aptos" w:hAnsi="Aptos" w:cs="Arial"/>
          <w:b/>
          <w:bCs/>
        </w:rPr>
        <w:t xml:space="preserve">Mapping </w:t>
      </w:r>
      <w:r w:rsidR="003D0C5D">
        <w:rPr>
          <w:rFonts w:ascii="Aptos" w:hAnsi="Aptos" w:cs="Arial"/>
          <w:b/>
          <w:bCs/>
        </w:rPr>
        <w:t>R</w:t>
      </w:r>
      <w:r w:rsidRPr="00460661">
        <w:rPr>
          <w:rFonts w:ascii="Aptos" w:hAnsi="Aptos" w:cs="Arial"/>
          <w:b/>
          <w:bCs/>
        </w:rPr>
        <w:t xml:space="preserve">esistance to </w:t>
      </w:r>
      <w:r w:rsidR="003D0C5D">
        <w:rPr>
          <w:rFonts w:ascii="Aptos" w:hAnsi="Aptos" w:cs="Arial"/>
          <w:b/>
          <w:bCs/>
        </w:rPr>
        <w:t>A</w:t>
      </w:r>
      <w:r w:rsidRPr="00460661">
        <w:rPr>
          <w:rFonts w:ascii="Aptos" w:hAnsi="Aptos" w:cs="Arial"/>
          <w:b/>
          <w:bCs/>
        </w:rPr>
        <w:t xml:space="preserve">flatoxin </w:t>
      </w:r>
      <w:r w:rsidR="003D0C5D">
        <w:rPr>
          <w:rFonts w:ascii="Aptos" w:hAnsi="Aptos" w:cs="Arial"/>
          <w:b/>
          <w:bCs/>
        </w:rPr>
        <w:t>C</w:t>
      </w:r>
      <w:r w:rsidRPr="00460661">
        <w:rPr>
          <w:rFonts w:ascii="Aptos" w:hAnsi="Aptos" w:cs="Arial"/>
          <w:b/>
          <w:bCs/>
        </w:rPr>
        <w:t xml:space="preserve">ontamination in </w:t>
      </w:r>
      <w:r w:rsidR="003D0C5D">
        <w:rPr>
          <w:rFonts w:ascii="Aptos" w:hAnsi="Aptos" w:cs="Arial"/>
          <w:b/>
          <w:bCs/>
        </w:rPr>
        <w:t>R</w:t>
      </w:r>
      <w:r w:rsidRPr="00460661">
        <w:rPr>
          <w:rFonts w:ascii="Aptos" w:hAnsi="Aptos" w:cs="Arial"/>
          <w:b/>
          <w:bCs/>
        </w:rPr>
        <w:t xml:space="preserve">ecombinant </w:t>
      </w:r>
      <w:r w:rsidR="003D0C5D">
        <w:rPr>
          <w:rFonts w:ascii="Aptos" w:hAnsi="Aptos" w:cs="Arial"/>
          <w:b/>
          <w:bCs/>
        </w:rPr>
        <w:t>I</w:t>
      </w:r>
      <w:r w:rsidRPr="00460661">
        <w:rPr>
          <w:rFonts w:ascii="Aptos" w:hAnsi="Aptos" w:cs="Arial"/>
          <w:b/>
          <w:bCs/>
        </w:rPr>
        <w:t xml:space="preserve">nbred </w:t>
      </w:r>
      <w:r w:rsidR="003D0C5D">
        <w:rPr>
          <w:rFonts w:ascii="Aptos" w:hAnsi="Aptos" w:cs="Arial"/>
          <w:b/>
          <w:bCs/>
        </w:rPr>
        <w:t>L</w:t>
      </w:r>
      <w:r w:rsidRPr="00460661">
        <w:rPr>
          <w:rFonts w:ascii="Aptos" w:hAnsi="Aptos" w:cs="Arial"/>
          <w:b/>
          <w:bCs/>
        </w:rPr>
        <w:t xml:space="preserve">ine </w:t>
      </w:r>
      <w:r w:rsidR="003D0C5D">
        <w:rPr>
          <w:rFonts w:ascii="Aptos" w:hAnsi="Aptos" w:cs="Arial"/>
          <w:b/>
          <w:bCs/>
        </w:rPr>
        <w:t>P</w:t>
      </w:r>
      <w:r w:rsidRPr="00460661">
        <w:rPr>
          <w:rFonts w:ascii="Aptos" w:hAnsi="Aptos" w:cs="Arial"/>
          <w:b/>
          <w:bCs/>
        </w:rPr>
        <w:t xml:space="preserve">opulations of </w:t>
      </w:r>
      <w:r w:rsidR="003D0C5D">
        <w:rPr>
          <w:rFonts w:ascii="Aptos" w:hAnsi="Aptos" w:cs="Arial"/>
          <w:b/>
          <w:bCs/>
        </w:rPr>
        <w:t>P</w:t>
      </w:r>
      <w:r w:rsidRPr="00460661">
        <w:rPr>
          <w:rFonts w:ascii="Aptos" w:hAnsi="Aptos" w:cs="Arial"/>
          <w:b/>
          <w:bCs/>
        </w:rPr>
        <w:t>eanut (</w:t>
      </w:r>
      <w:r w:rsidRPr="00460661">
        <w:rPr>
          <w:rFonts w:ascii="Aptos" w:hAnsi="Aptos" w:cs="Arial"/>
          <w:b/>
          <w:bCs/>
          <w:i/>
          <w:iCs/>
        </w:rPr>
        <w:t xml:space="preserve">Arachis hypogaea </w:t>
      </w:r>
      <w:r w:rsidRPr="00460661">
        <w:rPr>
          <w:rFonts w:ascii="Aptos" w:hAnsi="Aptos" w:cs="Arial"/>
          <w:b/>
          <w:bCs/>
        </w:rPr>
        <w:t xml:space="preserve">L.) </w:t>
      </w:r>
    </w:p>
    <w:p w14:paraId="47CECE63" w14:textId="5E253265" w:rsidR="00404032" w:rsidRPr="00460661" w:rsidRDefault="00C25AE7" w:rsidP="00A55158">
      <w:pPr>
        <w:spacing w:line="240" w:lineRule="auto"/>
        <w:rPr>
          <w:rFonts w:ascii="Aptos" w:hAnsi="Aptos" w:cs="Arial"/>
        </w:rPr>
      </w:pPr>
      <w:r w:rsidRPr="00460661">
        <w:rPr>
          <w:rFonts w:ascii="Aptos" w:hAnsi="Aptos" w:cs="Arial"/>
          <w:b/>
          <w:bCs/>
        </w:rPr>
        <w:t>WIGGINS, R.</w:t>
      </w:r>
      <w:r w:rsidR="00404032" w:rsidRPr="00460661">
        <w:rPr>
          <w:rFonts w:ascii="Aptos" w:hAnsi="Aptos" w:cs="Arial"/>
          <w:vertAlign w:val="superscript"/>
        </w:rPr>
        <w:t>1</w:t>
      </w:r>
      <w:r w:rsidR="00404032" w:rsidRPr="00460661">
        <w:rPr>
          <w:rFonts w:ascii="Aptos" w:hAnsi="Aptos" w:cs="Arial"/>
        </w:rPr>
        <w:t>, Cardon</w:t>
      </w:r>
      <w:r w:rsidRPr="00460661">
        <w:rPr>
          <w:rFonts w:ascii="Aptos" w:hAnsi="Aptos" w:cs="Arial"/>
        </w:rPr>
        <w:t>, C.</w:t>
      </w:r>
      <w:r w:rsidR="00404032" w:rsidRPr="00460661">
        <w:rPr>
          <w:rFonts w:ascii="Aptos" w:hAnsi="Aptos" w:cs="Arial"/>
          <w:vertAlign w:val="superscript"/>
        </w:rPr>
        <w:t>1</w:t>
      </w:r>
      <w:r w:rsidR="00404032" w:rsidRPr="00460661">
        <w:rPr>
          <w:rFonts w:ascii="Aptos" w:hAnsi="Aptos" w:cs="Arial"/>
        </w:rPr>
        <w:t>, Clevenger</w:t>
      </w:r>
      <w:r w:rsidRPr="00460661">
        <w:rPr>
          <w:rFonts w:ascii="Aptos" w:hAnsi="Aptos" w:cs="Arial"/>
        </w:rPr>
        <w:t>, J.</w:t>
      </w:r>
      <w:r w:rsidR="00404032" w:rsidRPr="00460661">
        <w:rPr>
          <w:rFonts w:ascii="Aptos" w:hAnsi="Aptos" w:cs="Arial"/>
          <w:vertAlign w:val="superscript"/>
        </w:rPr>
        <w:t>2</w:t>
      </w:r>
      <w:r w:rsidR="00404032" w:rsidRPr="00460661">
        <w:rPr>
          <w:rFonts w:ascii="Aptos" w:hAnsi="Aptos" w:cs="Arial"/>
        </w:rPr>
        <w:t>, Korani</w:t>
      </w:r>
      <w:r w:rsidRPr="00460661">
        <w:rPr>
          <w:rFonts w:ascii="Aptos" w:hAnsi="Aptos" w:cs="Arial"/>
        </w:rPr>
        <w:t>, W.</w:t>
      </w:r>
      <w:r w:rsidR="00404032" w:rsidRPr="00460661">
        <w:rPr>
          <w:rFonts w:ascii="Aptos" w:hAnsi="Aptos" w:cs="Arial"/>
          <w:vertAlign w:val="superscript"/>
        </w:rPr>
        <w:t>2</w:t>
      </w:r>
      <w:r w:rsidR="00404032" w:rsidRPr="00460661">
        <w:rPr>
          <w:rFonts w:ascii="Aptos" w:hAnsi="Aptos" w:cs="Arial"/>
        </w:rPr>
        <w:t>, Holbrook</w:t>
      </w:r>
      <w:r w:rsidRPr="00460661">
        <w:rPr>
          <w:rFonts w:ascii="Aptos" w:hAnsi="Aptos" w:cs="Arial"/>
        </w:rPr>
        <w:t>, C.C.</w:t>
      </w:r>
      <w:r w:rsidR="00404032" w:rsidRPr="00460661">
        <w:rPr>
          <w:rFonts w:ascii="Aptos" w:hAnsi="Aptos" w:cs="Arial"/>
          <w:vertAlign w:val="superscript"/>
        </w:rPr>
        <w:t>3</w:t>
      </w:r>
      <w:r w:rsidR="00404032" w:rsidRPr="00460661">
        <w:rPr>
          <w:rFonts w:ascii="Aptos" w:hAnsi="Aptos" w:cs="Arial"/>
        </w:rPr>
        <w:t>, Nix</w:t>
      </w:r>
      <w:r w:rsidRPr="00460661">
        <w:rPr>
          <w:rFonts w:ascii="Aptos" w:hAnsi="Aptos" w:cs="Arial"/>
        </w:rPr>
        <w:t>, E.</w:t>
      </w:r>
      <w:r w:rsidR="00404032" w:rsidRPr="00460661">
        <w:rPr>
          <w:rFonts w:ascii="Aptos" w:hAnsi="Aptos" w:cs="Arial"/>
          <w:vertAlign w:val="superscript"/>
        </w:rPr>
        <w:t>2,4</w:t>
      </w:r>
      <w:r w:rsidR="00404032" w:rsidRPr="00460661">
        <w:rPr>
          <w:rFonts w:ascii="Aptos" w:hAnsi="Aptos" w:cs="Arial"/>
        </w:rPr>
        <w:t>, Ozias-Akins</w:t>
      </w:r>
      <w:r w:rsidRPr="00460661">
        <w:rPr>
          <w:rFonts w:ascii="Aptos" w:hAnsi="Aptos" w:cs="Arial"/>
        </w:rPr>
        <w:t>, P.</w:t>
      </w:r>
      <w:r w:rsidR="00404032" w:rsidRPr="00460661">
        <w:rPr>
          <w:rFonts w:ascii="Aptos" w:hAnsi="Aptos" w:cs="Arial"/>
          <w:vertAlign w:val="superscript"/>
        </w:rPr>
        <w:t>1</w:t>
      </w:r>
    </w:p>
    <w:p w14:paraId="24ADBE37" w14:textId="02D5DE53" w:rsidR="00404032" w:rsidRPr="00460661" w:rsidRDefault="00404032" w:rsidP="00A55158">
      <w:pPr>
        <w:pStyle w:val="Affiliations"/>
        <w:rPr>
          <w:rFonts w:ascii="Aptos" w:hAnsi="Aptos" w:cs="Arial"/>
          <w:sz w:val="24"/>
          <w:szCs w:val="24"/>
        </w:rPr>
      </w:pPr>
      <w:r w:rsidRPr="00460661">
        <w:rPr>
          <w:rFonts w:ascii="Aptos" w:hAnsi="Aptos" w:cs="Arial"/>
          <w:sz w:val="24"/>
          <w:szCs w:val="24"/>
          <w:vertAlign w:val="superscript"/>
        </w:rPr>
        <w:t>1</w:t>
      </w:r>
      <w:r w:rsidRPr="00460661">
        <w:rPr>
          <w:rFonts w:ascii="Aptos" w:hAnsi="Aptos" w:cs="Arial"/>
          <w:sz w:val="24"/>
          <w:szCs w:val="24"/>
        </w:rPr>
        <w:t xml:space="preserve">Institute of Plant Breeding, Genetics and Genomics, University of Georgia, Tifton, G, USA; </w:t>
      </w:r>
      <w:r w:rsidRPr="00460661">
        <w:rPr>
          <w:rFonts w:ascii="Aptos" w:hAnsi="Aptos" w:cs="Arial"/>
          <w:sz w:val="24"/>
          <w:szCs w:val="24"/>
          <w:vertAlign w:val="superscript"/>
        </w:rPr>
        <w:t>2</w:t>
      </w:r>
      <w:r w:rsidRPr="00460661">
        <w:rPr>
          <w:rFonts w:ascii="Aptos" w:hAnsi="Aptos" w:cs="Arial"/>
          <w:sz w:val="24"/>
          <w:szCs w:val="24"/>
        </w:rPr>
        <w:t xml:space="preserve">HudsonAlpha Institute for Biotechnology, Huntsville, AL, USA; </w:t>
      </w:r>
      <w:r w:rsidRPr="00460661">
        <w:rPr>
          <w:rFonts w:ascii="Aptos" w:hAnsi="Aptos" w:cs="Arial"/>
          <w:sz w:val="24"/>
          <w:szCs w:val="24"/>
          <w:vertAlign w:val="superscript"/>
        </w:rPr>
        <w:t>3</w:t>
      </w:r>
      <w:r w:rsidRPr="00460661">
        <w:rPr>
          <w:rFonts w:ascii="Aptos" w:hAnsi="Aptos" w:cs="Arial"/>
          <w:sz w:val="24"/>
          <w:szCs w:val="24"/>
        </w:rPr>
        <w:t xml:space="preserve">USDA-ARS, Coastal Plains Experiment Station, Tifton, GA, USA; </w:t>
      </w:r>
      <w:r w:rsidRPr="00460661">
        <w:rPr>
          <w:rFonts w:ascii="Aptos" w:hAnsi="Aptos" w:cs="Arial"/>
          <w:sz w:val="24"/>
          <w:szCs w:val="24"/>
          <w:vertAlign w:val="superscript"/>
        </w:rPr>
        <w:t>4</w:t>
      </w:r>
      <w:r w:rsidRPr="00460661">
        <w:rPr>
          <w:rFonts w:ascii="Aptos" w:hAnsi="Aptos" w:cs="Arial"/>
          <w:sz w:val="24"/>
          <w:szCs w:val="24"/>
        </w:rPr>
        <w:t>Department of Biological and Environmental Sciences, Alabama A&amp;M University, Huntsville, AL, USA</w:t>
      </w:r>
    </w:p>
    <w:p w14:paraId="639730F4" w14:textId="77777777" w:rsidR="00404032" w:rsidRPr="00460661" w:rsidRDefault="00404032" w:rsidP="00404032">
      <w:pPr>
        <w:pStyle w:val="Affiliations"/>
        <w:rPr>
          <w:rFonts w:ascii="Aptos" w:hAnsi="Aptos" w:cs="Arial"/>
          <w:sz w:val="24"/>
          <w:szCs w:val="24"/>
        </w:rPr>
      </w:pPr>
    </w:p>
    <w:p w14:paraId="5084EBA8" w14:textId="52F3469F" w:rsidR="00746D37" w:rsidRPr="00460661" w:rsidRDefault="00404032" w:rsidP="002A3066">
      <w:pPr>
        <w:rPr>
          <w:rFonts w:ascii="Aptos" w:hAnsi="Aptos"/>
        </w:rPr>
      </w:pPr>
      <w:r w:rsidRPr="00460661">
        <w:rPr>
          <w:rFonts w:ascii="Aptos" w:eastAsia="Times New Roman" w:hAnsi="Aptos" w:cs="Arial"/>
          <w:kern w:val="0"/>
          <w14:ligatures w14:val="none"/>
        </w:rPr>
        <w:t xml:space="preserve">Aflatoxin, a carcinogenic mycotoxin, is a significant concern for all sectors of the peanut industry. </w:t>
      </w:r>
      <w:r w:rsidR="00AF4487" w:rsidRPr="00460661">
        <w:rPr>
          <w:rFonts w:ascii="Aptos" w:eastAsia="Times New Roman" w:hAnsi="Aptos" w:cs="Arial"/>
          <w:kern w:val="0"/>
          <w14:ligatures w14:val="none"/>
        </w:rPr>
        <w:t>Peanuts with varying genetic backgrounds can exhibit differing degrees of susceptibility to contamination. To explore the genetic mechanisms causing this variation, reciprocal crosses between a susceptible peanut genotype, Florida-07, and a resistant peanut genotype, ICG 1471, were made to develop a recombinant inbred line (RIL) population</w:t>
      </w:r>
      <w:r w:rsidR="00E970DF" w:rsidRPr="00460661">
        <w:rPr>
          <w:rFonts w:ascii="Aptos" w:eastAsia="Times New Roman" w:hAnsi="Aptos" w:cs="Arial"/>
          <w:kern w:val="0"/>
          <w14:ligatures w14:val="none"/>
        </w:rPr>
        <w:t xml:space="preserve"> (IF population)</w:t>
      </w:r>
      <w:r w:rsidR="00AF4487" w:rsidRPr="00460661">
        <w:rPr>
          <w:rFonts w:ascii="Aptos" w:eastAsia="Times New Roman" w:hAnsi="Aptos" w:cs="Arial"/>
          <w:kern w:val="0"/>
          <w14:ligatures w14:val="none"/>
        </w:rPr>
        <w:t xml:space="preserve">. Advanced RILs from this population were screened for aflatoxin contamination using a novel in vitro </w:t>
      </w:r>
      <w:r w:rsidR="002A3066" w:rsidRPr="00460661">
        <w:rPr>
          <w:rFonts w:ascii="Aptos" w:eastAsia="Times New Roman" w:hAnsi="Aptos" w:cs="Arial"/>
          <w:kern w:val="0"/>
          <w14:ligatures w14:val="none"/>
        </w:rPr>
        <w:t xml:space="preserve">seed </w:t>
      </w:r>
      <w:r w:rsidR="00AF4487" w:rsidRPr="00460661">
        <w:rPr>
          <w:rFonts w:ascii="Aptos" w:eastAsia="Times New Roman" w:hAnsi="Aptos" w:cs="Arial"/>
          <w:kern w:val="0"/>
          <w14:ligatures w14:val="none"/>
        </w:rPr>
        <w:t xml:space="preserve">colonization </w:t>
      </w:r>
      <w:r w:rsidR="002A3066" w:rsidRPr="00460661">
        <w:rPr>
          <w:rFonts w:ascii="Aptos" w:eastAsia="Times New Roman" w:hAnsi="Aptos" w:cs="Arial"/>
          <w:kern w:val="0"/>
          <w14:ligatures w14:val="none"/>
        </w:rPr>
        <w:t>technique</w:t>
      </w:r>
      <w:r w:rsidR="00AF4487" w:rsidRPr="00460661">
        <w:rPr>
          <w:rFonts w:ascii="Aptos" w:eastAsia="Times New Roman" w:hAnsi="Aptos" w:cs="Arial"/>
          <w:kern w:val="0"/>
          <w14:ligatures w14:val="none"/>
        </w:rPr>
        <w:t xml:space="preserve"> </w:t>
      </w:r>
      <w:r w:rsidR="002A3066" w:rsidRPr="00460661">
        <w:rPr>
          <w:rFonts w:ascii="Aptos" w:eastAsia="Times New Roman" w:hAnsi="Aptos" w:cs="Arial"/>
          <w:kern w:val="0"/>
          <w14:ligatures w14:val="none"/>
        </w:rPr>
        <w:t>involving</w:t>
      </w:r>
      <w:r w:rsidR="00AF4487" w:rsidRPr="00460661">
        <w:rPr>
          <w:rFonts w:ascii="Aptos" w:eastAsia="Times New Roman" w:hAnsi="Aptos" w:cs="Arial"/>
          <w:kern w:val="0"/>
          <w14:ligatures w14:val="none"/>
        </w:rPr>
        <w:t xml:space="preserve"> inoculation with </w:t>
      </w:r>
      <w:r w:rsidR="00AF4487" w:rsidRPr="00460661">
        <w:rPr>
          <w:rFonts w:ascii="Aptos" w:eastAsia="Times New Roman" w:hAnsi="Aptos" w:cs="Arial"/>
          <w:i/>
          <w:iCs/>
          <w:kern w:val="0"/>
          <w14:ligatures w14:val="none"/>
        </w:rPr>
        <w:t>A. flavus</w:t>
      </w:r>
      <w:r w:rsidR="00AF4487" w:rsidRPr="00460661">
        <w:rPr>
          <w:rFonts w:ascii="Aptos" w:eastAsia="Times New Roman" w:hAnsi="Aptos" w:cs="Arial"/>
          <w:kern w:val="0"/>
          <w14:ligatures w14:val="none"/>
        </w:rPr>
        <w:t xml:space="preserve">. DNA was extracted from lines which were identified as the most susceptible and the most resistant. Samples from each group were bulked for whole genome sequencing. </w:t>
      </w:r>
      <w:r w:rsidRPr="00460661">
        <w:rPr>
          <w:rFonts w:ascii="Aptos" w:eastAsia="Times New Roman" w:hAnsi="Aptos" w:cs="Arial"/>
          <w:kern w:val="0"/>
          <w14:ligatures w14:val="none"/>
        </w:rPr>
        <w:t xml:space="preserve">A quantitative trait locus (QTL) mapping approach was employed to identify regions contributing to resistance. </w:t>
      </w:r>
      <w:r w:rsidR="002A3066" w:rsidRPr="00460661">
        <w:rPr>
          <w:rFonts w:ascii="Aptos" w:eastAsia="Times New Roman" w:hAnsi="Aptos" w:cs="Arial"/>
          <w:kern w:val="0"/>
          <w14:ligatures w14:val="none"/>
        </w:rPr>
        <w:t xml:space="preserve">Four different putative QTL regions were identified using the Khufu var program. </w:t>
      </w:r>
      <w:r w:rsidR="00E970DF" w:rsidRPr="00460661">
        <w:rPr>
          <w:rFonts w:ascii="Aptos" w:eastAsia="Times New Roman" w:hAnsi="Aptos" w:cs="Arial"/>
          <w:kern w:val="0"/>
          <w14:ligatures w14:val="none"/>
        </w:rPr>
        <w:t>Subsequent experiments using two nested populations derived from cross</w:t>
      </w:r>
      <w:r w:rsidR="00E970DF" w:rsidRPr="00460661">
        <w:rPr>
          <w:rFonts w:ascii="Aptos" w:eastAsia="Times New Roman" w:hAnsi="Aptos" w:cs="Arial"/>
          <w:kern w:val="0"/>
          <w14:ligatures w14:val="none"/>
        </w:rPr>
        <w:t>es</w:t>
      </w:r>
      <w:r w:rsidR="00E970DF" w:rsidRPr="00460661">
        <w:rPr>
          <w:rFonts w:ascii="Aptos" w:eastAsia="Times New Roman" w:hAnsi="Aptos" w:cs="Arial"/>
          <w:kern w:val="0"/>
          <w14:ligatures w14:val="none"/>
        </w:rPr>
        <w:t xml:space="preserve"> between a</w:t>
      </w:r>
      <w:r w:rsidR="00E970DF" w:rsidRPr="00460661">
        <w:rPr>
          <w:rFonts w:ascii="Aptos" w:eastAsia="Times New Roman" w:hAnsi="Aptos" w:cs="Arial"/>
          <w:kern w:val="0"/>
          <w14:ligatures w14:val="none"/>
        </w:rPr>
        <w:t xml:space="preserve"> resistant</w:t>
      </w:r>
      <w:r w:rsidR="00E970DF" w:rsidRPr="00460661">
        <w:rPr>
          <w:rFonts w:ascii="Aptos" w:eastAsia="Times New Roman" w:hAnsi="Aptos" w:cs="Arial"/>
          <w:kern w:val="0"/>
          <w14:ligatures w14:val="none"/>
        </w:rPr>
        <w:t xml:space="preserve"> IF line and </w:t>
      </w:r>
      <w:r w:rsidR="00E970DF" w:rsidRPr="00460661">
        <w:rPr>
          <w:rFonts w:ascii="Aptos" w:eastAsia="Times New Roman" w:hAnsi="Aptos" w:cs="Arial"/>
          <w:kern w:val="0"/>
          <w14:ligatures w14:val="none"/>
        </w:rPr>
        <w:t>two</w:t>
      </w:r>
      <w:r w:rsidR="00E970DF" w:rsidRPr="00460661">
        <w:rPr>
          <w:rFonts w:ascii="Aptos" w:eastAsia="Times New Roman" w:hAnsi="Aptos" w:cs="Arial"/>
          <w:kern w:val="0"/>
          <w14:ligatures w14:val="none"/>
        </w:rPr>
        <w:t xml:space="preserve"> </w:t>
      </w:r>
      <w:r w:rsidR="00E970DF" w:rsidRPr="00460661">
        <w:rPr>
          <w:rFonts w:ascii="Aptos" w:eastAsia="Times New Roman" w:hAnsi="Aptos" w:cs="Arial"/>
          <w:kern w:val="0"/>
          <w14:ligatures w14:val="none"/>
        </w:rPr>
        <w:t>chromosome segment substitution lines</w:t>
      </w:r>
      <w:r w:rsidR="00E970DF" w:rsidRPr="00460661">
        <w:rPr>
          <w:rFonts w:ascii="Aptos" w:eastAsia="Times New Roman" w:hAnsi="Aptos" w:cs="Arial"/>
          <w:kern w:val="0"/>
          <w14:ligatures w14:val="none"/>
        </w:rPr>
        <w:t>,</w:t>
      </w:r>
      <w:r w:rsidR="00E970DF" w:rsidRPr="00460661">
        <w:rPr>
          <w:rFonts w:ascii="Aptos" w:eastAsia="Times New Roman" w:hAnsi="Aptos" w:cs="Arial"/>
          <w:kern w:val="0"/>
          <w14:ligatures w14:val="none"/>
        </w:rPr>
        <w:t xml:space="preserve"> CSSL84 and CSSL100, demonstrated that one of the regions, identified on Arahy20, could be validated for aflatoxin contamination resistance</w:t>
      </w:r>
      <w:r w:rsidR="00D14CAC" w:rsidRPr="00460661">
        <w:rPr>
          <w:rFonts w:ascii="Aptos" w:eastAsia="Times New Roman" w:hAnsi="Aptos" w:cs="Arial"/>
          <w:kern w:val="0"/>
          <w14:ligatures w14:val="none"/>
        </w:rPr>
        <w:t>.</w:t>
      </w:r>
      <w:r w:rsidR="002A3066" w:rsidRPr="00460661">
        <w:rPr>
          <w:rFonts w:ascii="Aptos" w:eastAsia="Times New Roman" w:hAnsi="Aptos" w:cs="Arial"/>
          <w:kern w:val="0"/>
          <w14:ligatures w14:val="none"/>
        </w:rPr>
        <w:t xml:space="preserve"> </w:t>
      </w:r>
      <w:r w:rsidR="00D14CAC" w:rsidRPr="00460661">
        <w:rPr>
          <w:rFonts w:ascii="Aptos" w:eastAsia="Times New Roman" w:hAnsi="Aptos" w:cs="Arial"/>
          <w:kern w:val="0"/>
          <w14:ligatures w14:val="none"/>
        </w:rPr>
        <w:t>V</w:t>
      </w:r>
      <w:r w:rsidR="002A3066" w:rsidRPr="00460661">
        <w:rPr>
          <w:rFonts w:ascii="Aptos" w:eastAsia="Times New Roman" w:hAnsi="Aptos" w:cs="Arial"/>
          <w:kern w:val="0"/>
          <w14:ligatures w14:val="none"/>
        </w:rPr>
        <w:t>ariant analysis within this region revealed two genes which may contribute to resistance mechanisms.</w:t>
      </w:r>
    </w:p>
    <w:sectPr w:rsidR="00746D37" w:rsidRPr="004606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032"/>
    <w:rsid w:val="000A66CC"/>
    <w:rsid w:val="002A3066"/>
    <w:rsid w:val="003B107E"/>
    <w:rsid w:val="003D0C5D"/>
    <w:rsid w:val="00404032"/>
    <w:rsid w:val="00421F55"/>
    <w:rsid w:val="00460661"/>
    <w:rsid w:val="004D6B09"/>
    <w:rsid w:val="005975AF"/>
    <w:rsid w:val="00746D37"/>
    <w:rsid w:val="00756E15"/>
    <w:rsid w:val="008F2B00"/>
    <w:rsid w:val="00944329"/>
    <w:rsid w:val="00A55158"/>
    <w:rsid w:val="00AF4487"/>
    <w:rsid w:val="00C25AE7"/>
    <w:rsid w:val="00CA5CB3"/>
    <w:rsid w:val="00D14CAC"/>
    <w:rsid w:val="00E970DF"/>
    <w:rsid w:val="00E9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CAC1B"/>
  <w15:chartTrackingRefBased/>
  <w15:docId w15:val="{035F72E6-37AD-4BE5-B62F-D8D94E374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40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40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40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40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40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40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40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40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40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40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40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40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40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40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40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40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40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40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40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40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40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40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40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40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40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40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40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40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4032"/>
    <w:rPr>
      <w:b/>
      <w:bCs/>
      <w:smallCaps/>
      <w:color w:val="0F4761" w:themeColor="accent1" w:themeShade="BF"/>
      <w:spacing w:val="5"/>
    </w:rPr>
  </w:style>
  <w:style w:type="paragraph" w:customStyle="1" w:styleId="Abbreviations">
    <w:name w:val="Abbreviations"/>
    <w:basedOn w:val="Normal"/>
    <w:rsid w:val="00404032"/>
    <w:pPr>
      <w:spacing w:before="120"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customStyle="1" w:styleId="ArticleTitle">
    <w:name w:val="Article_Title"/>
    <w:basedOn w:val="Normal"/>
    <w:rsid w:val="00404032"/>
    <w:pPr>
      <w:keepNext/>
      <w:spacing w:before="24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kern w:val="28"/>
      <w:sz w:val="28"/>
      <w:szCs w:val="20"/>
      <w14:ligatures w14:val="none"/>
    </w:rPr>
  </w:style>
  <w:style w:type="paragraph" w:customStyle="1" w:styleId="Authors">
    <w:name w:val="Authors"/>
    <w:rsid w:val="00404032"/>
    <w:pPr>
      <w:spacing w:before="240" w:after="0" w:line="240" w:lineRule="auto"/>
      <w:jc w:val="center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customStyle="1" w:styleId="Affiliations">
    <w:name w:val="Affiliations"/>
    <w:basedOn w:val="Normal"/>
    <w:rsid w:val="00404032"/>
    <w:pPr>
      <w:spacing w:before="240"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D14C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261</Words>
  <Characters>1649</Characters>
  <Application>Microsoft Office Word</Application>
  <DocSecurity>0</DocSecurity>
  <Lines>26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Raegan Wiggins</dc:creator>
  <cp:keywords/>
  <dc:description/>
  <cp:lastModifiedBy>Raegan Wiggins</cp:lastModifiedBy>
  <cp:revision>6</cp:revision>
  <dcterms:created xsi:type="dcterms:W3CDTF">2026-03-30T18:20:00Z</dcterms:created>
  <dcterms:modified xsi:type="dcterms:W3CDTF">2026-03-30T18:24:00Z</dcterms:modified>
</cp:coreProperties>
</file>