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2B6A9" w14:textId="066AB79C" w:rsidR="000212CF" w:rsidRPr="006E4343" w:rsidRDefault="0009112C" w:rsidP="0009112C">
      <w:pPr>
        <w:jc w:val="center"/>
        <w:rPr>
          <w:rFonts w:cs="Calibri"/>
          <w:b/>
        </w:rPr>
      </w:pPr>
      <w:r w:rsidRPr="006E4343">
        <w:rPr>
          <w:b/>
          <w:bCs/>
          <w:noProof/>
        </w:rPr>
        <w:drawing>
          <wp:inline distT="0" distB="0" distL="0" distR="0" wp14:anchorId="4712936B" wp14:editId="2EAE4F1B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3F3CC" w14:textId="6B6562F8" w:rsidR="00CE39D3" w:rsidRPr="00117C9B" w:rsidRDefault="00AA2EED" w:rsidP="00117C9B">
      <w:pPr>
        <w:spacing w:after="120" w:line="240" w:lineRule="auto"/>
        <w:rPr>
          <w:b/>
          <w:bCs/>
        </w:rPr>
      </w:pPr>
      <w:r w:rsidRPr="00117C9B">
        <w:rPr>
          <w:b/>
          <w:bCs/>
        </w:rPr>
        <w:t>Dissecting an introgression – locating wild PRKN resistance in peanut</w:t>
      </w:r>
    </w:p>
    <w:p w14:paraId="16BBE701" w14:textId="37FF1DF7" w:rsidR="003350B9" w:rsidRPr="00117C9B" w:rsidRDefault="00E972C2" w:rsidP="00117C9B">
      <w:pPr>
        <w:spacing w:after="120" w:line="240" w:lineRule="auto"/>
      </w:pPr>
      <w:r w:rsidRPr="00117C9B">
        <w:rPr>
          <w:b/>
          <w:bCs/>
        </w:rPr>
        <w:t>BOTTON</w:t>
      </w:r>
      <w:r w:rsidR="003350B9" w:rsidRPr="00117C9B">
        <w:rPr>
          <w:b/>
          <w:bCs/>
        </w:rPr>
        <w:t>, S.</w:t>
      </w:r>
      <w:r w:rsidR="003350B9" w:rsidRPr="00117C9B">
        <w:rPr>
          <w:b/>
          <w:bCs/>
          <w:vertAlign w:val="superscript"/>
        </w:rPr>
        <w:t>1,2</w:t>
      </w:r>
      <w:r w:rsidRPr="00117C9B">
        <w:t xml:space="preserve">, </w:t>
      </w:r>
      <w:r w:rsidR="00EE56BD" w:rsidRPr="00117C9B">
        <w:t>Pokhrel</w:t>
      </w:r>
      <w:r w:rsidR="00170D50" w:rsidRPr="00117C9B">
        <w:t xml:space="preserve">, S. </w:t>
      </w:r>
      <w:r w:rsidR="00170D50" w:rsidRPr="00117C9B">
        <w:rPr>
          <w:vertAlign w:val="superscript"/>
        </w:rPr>
        <w:t>1</w:t>
      </w:r>
      <w:r w:rsidR="00170D50" w:rsidRPr="00117C9B">
        <w:t xml:space="preserve">, </w:t>
      </w:r>
      <w:r w:rsidR="00EE56BD" w:rsidRPr="00117C9B">
        <w:t>Korani</w:t>
      </w:r>
      <w:r w:rsidR="007B0132" w:rsidRPr="00117C9B">
        <w:t>, W.</w:t>
      </w:r>
      <w:r w:rsidR="00130007" w:rsidRPr="00117C9B">
        <w:t xml:space="preserve"> </w:t>
      </w:r>
      <w:r w:rsidR="00130007" w:rsidRPr="00117C9B">
        <w:rPr>
          <w:vertAlign w:val="superscript"/>
        </w:rPr>
        <w:t>3</w:t>
      </w:r>
      <w:r w:rsidR="007B0132" w:rsidRPr="00117C9B">
        <w:t xml:space="preserve">, </w:t>
      </w:r>
      <w:r w:rsidR="00EE56BD" w:rsidRPr="00117C9B">
        <w:t>Clevenger</w:t>
      </w:r>
      <w:r w:rsidR="007B0132" w:rsidRPr="00117C9B">
        <w:t>, J.</w:t>
      </w:r>
      <w:r w:rsidR="00130007" w:rsidRPr="00117C9B">
        <w:t xml:space="preserve"> </w:t>
      </w:r>
      <w:r w:rsidR="00130007" w:rsidRPr="00117C9B">
        <w:rPr>
          <w:vertAlign w:val="superscript"/>
        </w:rPr>
        <w:t>3</w:t>
      </w:r>
      <w:r w:rsidR="007B0132" w:rsidRPr="00117C9B">
        <w:t xml:space="preserve">, </w:t>
      </w:r>
      <w:r w:rsidR="00EE56BD" w:rsidRPr="00117C9B">
        <w:t>Schumacher</w:t>
      </w:r>
      <w:r w:rsidR="007B0132" w:rsidRPr="00117C9B">
        <w:t>, L.</w:t>
      </w:r>
      <w:r w:rsidR="00130007" w:rsidRPr="00117C9B">
        <w:t xml:space="preserve"> </w:t>
      </w:r>
      <w:r w:rsidR="00130007" w:rsidRPr="00117C9B">
        <w:rPr>
          <w:vertAlign w:val="superscript"/>
        </w:rPr>
        <w:t>4</w:t>
      </w:r>
      <w:r w:rsidR="007B0132" w:rsidRPr="00117C9B">
        <w:t xml:space="preserve">, </w:t>
      </w:r>
      <w:r w:rsidR="00EE56BD" w:rsidRPr="00117C9B">
        <w:t>Timper</w:t>
      </w:r>
      <w:r w:rsidR="007B0132" w:rsidRPr="00117C9B">
        <w:t>, P.</w:t>
      </w:r>
      <w:r w:rsidR="00130007" w:rsidRPr="00117C9B">
        <w:t xml:space="preserve"> </w:t>
      </w:r>
      <w:r w:rsidR="00130007" w:rsidRPr="00117C9B">
        <w:rPr>
          <w:vertAlign w:val="superscript"/>
        </w:rPr>
        <w:t>4</w:t>
      </w:r>
      <w:r w:rsidR="007B0132" w:rsidRPr="00117C9B">
        <w:t xml:space="preserve">, </w:t>
      </w:r>
      <w:r w:rsidR="00EE56BD" w:rsidRPr="00117C9B">
        <w:t>Chu</w:t>
      </w:r>
      <w:r w:rsidR="00130007" w:rsidRPr="00117C9B">
        <w:t xml:space="preserve">, Y. </w:t>
      </w:r>
      <w:r w:rsidR="00130007" w:rsidRPr="00117C9B">
        <w:rPr>
          <w:vertAlign w:val="superscript"/>
        </w:rPr>
        <w:t>1,2</w:t>
      </w:r>
      <w:r w:rsidR="00130007" w:rsidRPr="00117C9B">
        <w:t xml:space="preserve">, </w:t>
      </w:r>
      <w:r w:rsidR="00EE56BD" w:rsidRPr="00117C9B">
        <w:t>Holbrook</w:t>
      </w:r>
      <w:r w:rsidR="00130007" w:rsidRPr="00117C9B">
        <w:t xml:space="preserve">, C.C. </w:t>
      </w:r>
      <w:r w:rsidR="00130007" w:rsidRPr="00117C9B">
        <w:rPr>
          <w:vertAlign w:val="superscript"/>
        </w:rPr>
        <w:t>4</w:t>
      </w:r>
      <w:r w:rsidR="00130007" w:rsidRPr="00117C9B">
        <w:t xml:space="preserve">, </w:t>
      </w:r>
      <w:r w:rsidR="00EE56BD" w:rsidRPr="00117C9B">
        <w:t>Ozias</w:t>
      </w:r>
      <w:r w:rsidR="00130007" w:rsidRPr="00117C9B">
        <w:t>-</w:t>
      </w:r>
      <w:r w:rsidR="00EE56BD" w:rsidRPr="00117C9B">
        <w:t>Akins</w:t>
      </w:r>
      <w:r w:rsidR="00130007" w:rsidRPr="00117C9B">
        <w:t xml:space="preserve">, P. </w:t>
      </w:r>
      <w:r w:rsidR="00130007" w:rsidRPr="00117C9B">
        <w:rPr>
          <w:vertAlign w:val="superscript"/>
        </w:rPr>
        <w:t>1,2</w:t>
      </w:r>
      <w:r w:rsidR="00130007" w:rsidRPr="00117C9B">
        <w:t xml:space="preserve"> </w:t>
      </w:r>
    </w:p>
    <w:p w14:paraId="399C4A01" w14:textId="74DB424D" w:rsidR="00E972C2" w:rsidRPr="006E4343" w:rsidRDefault="00AB7D34" w:rsidP="00117C9B">
      <w:pPr>
        <w:spacing w:after="120" w:line="240" w:lineRule="auto"/>
        <w:rPr>
          <w:rFonts w:cs="Arial"/>
          <w:bCs/>
        </w:rPr>
      </w:pPr>
      <w:r w:rsidRPr="00117C9B">
        <w:rPr>
          <w:vertAlign w:val="superscript"/>
        </w:rPr>
        <w:t>1</w:t>
      </w:r>
      <w:r w:rsidRPr="006E4343">
        <w:rPr>
          <w:rFonts w:cs="Arial"/>
          <w:bCs/>
        </w:rPr>
        <w:t xml:space="preserve">Institute of Plant Breeding, Genetics </w:t>
      </w:r>
      <w:r w:rsidR="002F0CD0" w:rsidRPr="006E4343">
        <w:rPr>
          <w:rFonts w:cs="Arial"/>
          <w:bCs/>
        </w:rPr>
        <w:t>&amp;</w:t>
      </w:r>
      <w:r w:rsidRPr="006E4343">
        <w:rPr>
          <w:rFonts w:cs="Arial"/>
          <w:bCs/>
        </w:rPr>
        <w:t xml:space="preserve"> Genomics, University of Georgia, Tifton</w:t>
      </w:r>
      <w:r w:rsidR="002F0CD0" w:rsidRPr="006E4343">
        <w:rPr>
          <w:rFonts w:cs="Arial"/>
          <w:bCs/>
        </w:rPr>
        <w:t>,</w:t>
      </w:r>
      <w:r w:rsidRPr="006E4343">
        <w:rPr>
          <w:rFonts w:cs="Arial"/>
          <w:bCs/>
        </w:rPr>
        <w:t xml:space="preserve"> GA</w:t>
      </w:r>
      <w:r w:rsidR="00EF75E4" w:rsidRPr="006E4343">
        <w:rPr>
          <w:rFonts w:cs="Arial"/>
          <w:bCs/>
        </w:rPr>
        <w:t xml:space="preserve">. </w:t>
      </w:r>
      <w:r w:rsidRPr="006E4343">
        <w:rPr>
          <w:rFonts w:cs="Arial"/>
          <w:bCs/>
          <w:vertAlign w:val="superscript"/>
        </w:rPr>
        <w:t>2</w:t>
      </w:r>
      <w:r w:rsidR="00E972C2" w:rsidRPr="006E4343">
        <w:rPr>
          <w:rFonts w:cs="Arial"/>
          <w:bCs/>
        </w:rPr>
        <w:t>Department of Horticulture, University of Georgia, Tifton</w:t>
      </w:r>
      <w:r w:rsidR="002F0CD0" w:rsidRPr="006E4343">
        <w:rPr>
          <w:rFonts w:cs="Arial"/>
          <w:bCs/>
        </w:rPr>
        <w:t>,</w:t>
      </w:r>
      <w:r w:rsidR="00E972C2" w:rsidRPr="006E4343">
        <w:rPr>
          <w:rFonts w:cs="Arial"/>
          <w:bCs/>
        </w:rPr>
        <w:t xml:space="preserve"> GA</w:t>
      </w:r>
      <w:r w:rsidR="00EF75E4" w:rsidRPr="006E4343">
        <w:rPr>
          <w:rFonts w:cs="Arial"/>
          <w:bCs/>
        </w:rPr>
        <w:t>.</w:t>
      </w:r>
      <w:r w:rsidR="00E972C2" w:rsidRPr="006E4343">
        <w:rPr>
          <w:rFonts w:cs="Arial"/>
          <w:bCs/>
        </w:rPr>
        <w:t xml:space="preserve"> </w:t>
      </w:r>
      <w:r w:rsidR="00EF75E4" w:rsidRPr="006E4343">
        <w:rPr>
          <w:rFonts w:cs="Arial"/>
          <w:bCs/>
          <w:vertAlign w:val="superscript"/>
        </w:rPr>
        <w:t>3</w:t>
      </w:r>
      <w:r w:rsidR="00E972C2" w:rsidRPr="006E4343">
        <w:rPr>
          <w:rFonts w:cs="Arial"/>
          <w:bCs/>
        </w:rPr>
        <w:t>Hudson-Alpha Institute for Biotechnology, Huntsville</w:t>
      </w:r>
      <w:r w:rsidR="002F0CD0" w:rsidRPr="006E4343">
        <w:rPr>
          <w:rFonts w:cs="Arial"/>
          <w:bCs/>
        </w:rPr>
        <w:t>,</w:t>
      </w:r>
      <w:r w:rsidR="00E972C2" w:rsidRPr="006E4343">
        <w:rPr>
          <w:rFonts w:cs="Arial"/>
          <w:bCs/>
        </w:rPr>
        <w:t xml:space="preserve"> A</w:t>
      </w:r>
      <w:r w:rsidR="002F0CD0" w:rsidRPr="006E4343">
        <w:rPr>
          <w:rFonts w:cs="Arial"/>
          <w:bCs/>
        </w:rPr>
        <w:t>L</w:t>
      </w:r>
      <w:r w:rsidR="00EF75E4" w:rsidRPr="006E4343">
        <w:rPr>
          <w:rFonts w:cs="Arial"/>
          <w:bCs/>
        </w:rPr>
        <w:t>.</w:t>
      </w:r>
      <w:r w:rsidR="00E972C2" w:rsidRPr="006E4343">
        <w:rPr>
          <w:rFonts w:cs="Arial"/>
          <w:bCs/>
        </w:rPr>
        <w:t xml:space="preserve"> </w:t>
      </w:r>
      <w:r w:rsidR="00EF75E4" w:rsidRPr="006E4343">
        <w:rPr>
          <w:rFonts w:cs="Arial"/>
          <w:bCs/>
          <w:vertAlign w:val="superscript"/>
        </w:rPr>
        <w:t>4</w:t>
      </w:r>
      <w:r w:rsidR="00E972C2" w:rsidRPr="006E4343">
        <w:rPr>
          <w:rFonts w:cs="Arial"/>
          <w:bCs/>
        </w:rPr>
        <w:t>USDA-ARS, Crop Genetics and Breeding Research, Tifton</w:t>
      </w:r>
      <w:r w:rsidR="002F0CD0" w:rsidRPr="006E4343">
        <w:rPr>
          <w:rFonts w:cs="Arial"/>
          <w:bCs/>
        </w:rPr>
        <w:t>,</w:t>
      </w:r>
      <w:r w:rsidR="00E972C2" w:rsidRPr="006E4343">
        <w:rPr>
          <w:rFonts w:cs="Arial"/>
          <w:bCs/>
        </w:rPr>
        <w:t xml:space="preserve"> G</w:t>
      </w:r>
      <w:r w:rsidR="002F0CD0" w:rsidRPr="006E4343">
        <w:rPr>
          <w:rFonts w:cs="Arial"/>
          <w:bCs/>
        </w:rPr>
        <w:t>A</w:t>
      </w:r>
      <w:r w:rsidR="00EF75E4" w:rsidRPr="006E4343">
        <w:rPr>
          <w:rFonts w:cs="Arial"/>
          <w:bCs/>
        </w:rPr>
        <w:t>.</w:t>
      </w:r>
    </w:p>
    <w:p w14:paraId="625641C2" w14:textId="77777777" w:rsidR="00617DBD" w:rsidRPr="006E4343" w:rsidRDefault="00617DBD" w:rsidP="00493376">
      <w:pPr>
        <w:spacing w:line="240" w:lineRule="auto"/>
      </w:pPr>
      <w:r w:rsidRPr="006E4343">
        <w:t>Peanut root knot nematode (PRKN) (</w:t>
      </w:r>
      <w:r w:rsidRPr="006E4343">
        <w:rPr>
          <w:i/>
          <w:iCs/>
        </w:rPr>
        <w:t>Meloidogyne arenaria)</w:t>
      </w:r>
      <w:r w:rsidRPr="006E4343">
        <w:t xml:space="preserve"> is a parasitic roundworm that affects many crops, especially cultivated peanut.  In a field infested with this parasite, without mitigation, a grower can experience devastating yield losses.  In peanut, mitigation can include the use of toxic nematicides, crop rotation, and peanut varieties that have PRKN-resistance (a preferred option).  Currently, only </w:t>
      </w:r>
      <w:r w:rsidRPr="006E4343">
        <w:rPr>
          <w:i/>
          <w:iCs/>
        </w:rPr>
        <w:t>Arachis cardenasii-</w:t>
      </w:r>
      <w:r w:rsidRPr="006E4343">
        <w:t>derived PRKN-R peanut varieties are readily available to growers</w:t>
      </w:r>
      <w:r w:rsidRPr="006E4343">
        <w:rPr>
          <w:i/>
          <w:iCs/>
        </w:rPr>
        <w:t xml:space="preserve">.  </w:t>
      </w:r>
      <w:r w:rsidRPr="006E4343">
        <w:t xml:space="preserve">The genetics of this resistance locates it to an </w:t>
      </w:r>
      <w:proofErr w:type="spellStart"/>
      <w:r w:rsidRPr="006E4343">
        <w:t>introgressed</w:t>
      </w:r>
      <w:proofErr w:type="spellEnd"/>
      <w:r w:rsidRPr="006E4343">
        <w:t xml:space="preserve"> segment on chromosome 9, </w:t>
      </w:r>
      <w:proofErr w:type="spellStart"/>
      <w:r w:rsidRPr="006E4343">
        <w:t>subgenome</w:t>
      </w:r>
      <w:proofErr w:type="spellEnd"/>
      <w:r w:rsidRPr="006E4343">
        <w:t xml:space="preserve"> A, spanning ~92% of the chromosome.  While this large introgression provides a strong mitigation strategy for growers, potentially unfavorable “wild” alleles in this region that are not needed for PRKN-R could impede peanut improvement.  The objective of this research is to discover which portion of this wild introgression, and the genes within it, are essential for the PRKN-R response.  This is being accomplished through identification of recombinants by genotyping followed by phenotyping for PRKN infection response.   Fine mapping with recombinants has narrowed the region of interest to less than 1 Mb.</w:t>
      </w:r>
    </w:p>
    <w:p w14:paraId="3A2BB382" w14:textId="77777777" w:rsidR="00110C29" w:rsidRPr="006E4343" w:rsidRDefault="00110C29" w:rsidP="00493376">
      <w:pPr>
        <w:spacing w:line="240" w:lineRule="auto"/>
      </w:pPr>
    </w:p>
    <w:sectPr w:rsidR="00110C29" w:rsidRPr="006E43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9D3"/>
    <w:rsid w:val="00014B94"/>
    <w:rsid w:val="000212CF"/>
    <w:rsid w:val="0009112C"/>
    <w:rsid w:val="000B5A21"/>
    <w:rsid w:val="00110C29"/>
    <w:rsid w:val="00117C9B"/>
    <w:rsid w:val="00130007"/>
    <w:rsid w:val="00170D50"/>
    <w:rsid w:val="002F0CD0"/>
    <w:rsid w:val="003350B9"/>
    <w:rsid w:val="003E0EA3"/>
    <w:rsid w:val="00424124"/>
    <w:rsid w:val="00493376"/>
    <w:rsid w:val="00617DBD"/>
    <w:rsid w:val="0065133F"/>
    <w:rsid w:val="006E4343"/>
    <w:rsid w:val="006F181B"/>
    <w:rsid w:val="00762430"/>
    <w:rsid w:val="007B0132"/>
    <w:rsid w:val="009632FC"/>
    <w:rsid w:val="00A27DFA"/>
    <w:rsid w:val="00AA2EED"/>
    <w:rsid w:val="00AB7D34"/>
    <w:rsid w:val="00C91D09"/>
    <w:rsid w:val="00CE39D3"/>
    <w:rsid w:val="00D66162"/>
    <w:rsid w:val="00E972C2"/>
    <w:rsid w:val="00EE56BD"/>
    <w:rsid w:val="00EF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BEA39"/>
  <w15:chartTrackingRefBased/>
  <w15:docId w15:val="{A83C5966-525D-41AF-8E2C-C8013192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9D3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39D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9D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9D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9D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9D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9D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9D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9D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9D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9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9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9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9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9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9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9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9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9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9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9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9D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9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9D3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CE39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9D3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CE39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9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9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9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1464</Characters>
  <Application>Microsoft Office Word</Application>
  <DocSecurity>0</DocSecurity>
  <Lines>24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 Botton</dc:creator>
  <cp:keywords/>
  <dc:description/>
  <cp:lastModifiedBy>Stephanie E Botton</cp:lastModifiedBy>
  <cp:revision>4</cp:revision>
  <dcterms:created xsi:type="dcterms:W3CDTF">2026-03-26T23:21:00Z</dcterms:created>
  <dcterms:modified xsi:type="dcterms:W3CDTF">2026-03-26T23:24:00Z</dcterms:modified>
</cp:coreProperties>
</file>